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C2" w:rsidRPr="00696901" w:rsidRDefault="00E002C2" w:rsidP="00325D8D">
      <w:pPr>
        <w:adjustRightInd w:val="0"/>
        <w:snapToGrid w:val="0"/>
        <w:spacing w:line="600" w:lineRule="exact"/>
        <w:rPr>
          <w:rFonts w:ascii="方正小标宋简体" w:eastAsia="方正小标宋简体" w:hint="eastAsia"/>
          <w:snapToGrid w:val="0"/>
          <w:spacing w:val="2"/>
          <w:kern w:val="0"/>
          <w:sz w:val="44"/>
          <w:szCs w:val="44"/>
        </w:rPr>
      </w:pPr>
    </w:p>
    <w:p w:rsidR="00E002C2" w:rsidRPr="00696901" w:rsidRDefault="00696901" w:rsidP="0048518A">
      <w:pPr>
        <w:adjustRightInd w:val="0"/>
        <w:snapToGrid w:val="0"/>
        <w:spacing w:line="600" w:lineRule="exact"/>
        <w:jc w:val="center"/>
        <w:rPr>
          <w:rFonts w:ascii="方正小标宋简体" w:eastAsia="方正小标宋简体"/>
          <w:snapToGrid w:val="0"/>
          <w:spacing w:val="2"/>
          <w:kern w:val="0"/>
          <w:sz w:val="44"/>
          <w:szCs w:val="44"/>
        </w:rPr>
      </w:pPr>
      <w:r w:rsidRPr="00696901">
        <w:rPr>
          <w:rFonts w:ascii="方正小标宋简体" w:eastAsia="方正小标宋简体" w:hint="eastAsia"/>
          <w:snapToGrid w:val="0"/>
          <w:spacing w:val="2"/>
          <w:kern w:val="0"/>
          <w:sz w:val="44"/>
          <w:szCs w:val="44"/>
        </w:rPr>
        <w:t>行业发展战略研究委员会</w:t>
      </w:r>
      <w:r w:rsidR="0048518A" w:rsidRPr="0048518A">
        <w:rPr>
          <w:rFonts w:ascii="方正小标宋简体" w:eastAsia="方正小标宋简体" w:hint="eastAsia"/>
          <w:snapToGrid w:val="0"/>
          <w:spacing w:val="2"/>
          <w:kern w:val="0"/>
          <w:sz w:val="44"/>
          <w:szCs w:val="44"/>
        </w:rPr>
        <w:t>2021年工作总结及2022年工作计划</w:t>
      </w:r>
    </w:p>
    <w:p w:rsidR="00E002C2" w:rsidRPr="00325D8D" w:rsidRDefault="00E002C2" w:rsidP="00E002C2">
      <w:pPr>
        <w:pStyle w:val="Default"/>
        <w:jc w:val="center"/>
        <w:rPr>
          <w:rFonts w:ascii="方正小标宋简体" w:eastAsia="方正小标宋简体" w:cs="FangSong"/>
          <w:sz w:val="44"/>
          <w:szCs w:val="44"/>
        </w:rPr>
      </w:pPr>
      <w:bookmarkStart w:id="0" w:name="_GoBack"/>
      <w:bookmarkEnd w:id="0"/>
    </w:p>
    <w:p w:rsidR="00E002C2" w:rsidRPr="00E002C2" w:rsidRDefault="00E002C2" w:rsidP="00E002C2">
      <w:pPr>
        <w:pStyle w:val="Default"/>
        <w:jc w:val="both"/>
        <w:rPr>
          <w:rFonts w:ascii="仿宋" w:eastAsia="仿宋" w:hAnsi="仿宋" w:cs="FangSong"/>
          <w:sz w:val="32"/>
          <w:szCs w:val="32"/>
        </w:rPr>
      </w:pPr>
      <w:r>
        <w:rPr>
          <w:rFonts w:ascii="FangSong" w:eastAsia="FangSong" w:cs="FangSong" w:hint="eastAsia"/>
          <w:sz w:val="30"/>
          <w:szCs w:val="30"/>
        </w:rPr>
        <w:t xml:space="preserve">   </w:t>
      </w:r>
      <w:r w:rsidRPr="00E002C2">
        <w:rPr>
          <w:rFonts w:ascii="仿宋" w:eastAsia="仿宋" w:hAnsi="仿宋" w:cs="FangSong" w:hint="eastAsia"/>
          <w:sz w:val="32"/>
          <w:szCs w:val="32"/>
        </w:rPr>
        <w:t xml:space="preserve"> 在过去一年中，在贺化会长的带领下，在秘书长、各位常务理事、和秘书处工作人员的通力合作下，委员会克服疫情防控等带来的不便，积极参加协会会长会议、常务理事会会议以及协会组织的各类活动，对行业面临的机遇与挑战，主动调研、积极探索、认真思考，从不同角度，为协会建设和行业发展出谋划策，为行业发展规划和体制</w:t>
      </w:r>
      <w:proofErr w:type="gramStart"/>
      <w:r w:rsidRPr="00E002C2">
        <w:rPr>
          <w:rFonts w:ascii="仿宋" w:eastAsia="仿宋" w:hAnsi="仿宋" w:cs="FangSong" w:hint="eastAsia"/>
          <w:sz w:val="32"/>
          <w:szCs w:val="32"/>
        </w:rPr>
        <w:t>完善贡献正</w:t>
      </w:r>
      <w:proofErr w:type="gramEnd"/>
      <w:r w:rsidRPr="00E002C2">
        <w:rPr>
          <w:rFonts w:ascii="仿宋" w:eastAsia="仿宋" w:hAnsi="仿宋" w:cs="FangSong" w:hint="eastAsia"/>
          <w:sz w:val="32"/>
          <w:szCs w:val="32"/>
        </w:rPr>
        <w:t>能量。</w:t>
      </w:r>
    </w:p>
    <w:p w:rsidR="00E002C2" w:rsidRPr="00E002C2" w:rsidRDefault="00E002C2" w:rsidP="00E002C2">
      <w:pPr>
        <w:pStyle w:val="Default"/>
        <w:jc w:val="both"/>
        <w:rPr>
          <w:rFonts w:ascii="仿宋" w:eastAsia="仿宋" w:hAnsi="仿宋" w:cs="FangSong"/>
          <w:sz w:val="32"/>
          <w:szCs w:val="32"/>
        </w:rPr>
      </w:pPr>
      <w:r w:rsidRPr="00E002C2">
        <w:rPr>
          <w:rFonts w:ascii="仿宋" w:eastAsia="仿宋" w:hAnsi="仿宋" w:cs="FangSong" w:hint="eastAsia"/>
          <w:sz w:val="32"/>
          <w:szCs w:val="32"/>
        </w:rPr>
        <w:t xml:space="preserve">    行业发展战略研究委员会的主要职责是负责审议并组织实施行业发展研究工作计划、规划；主持行业发展规划的调研、起草工作，探索、完善专利代理管理体制。</w:t>
      </w:r>
    </w:p>
    <w:p w:rsidR="00E002C2" w:rsidRPr="00E002C2" w:rsidRDefault="00E002C2" w:rsidP="00E002C2">
      <w:pPr>
        <w:pStyle w:val="Default"/>
        <w:jc w:val="both"/>
        <w:rPr>
          <w:rFonts w:ascii="仿宋" w:eastAsia="仿宋" w:hAnsi="仿宋" w:cs="FangSong"/>
          <w:sz w:val="32"/>
          <w:szCs w:val="32"/>
        </w:rPr>
      </w:pPr>
      <w:r w:rsidRPr="00E002C2">
        <w:rPr>
          <w:rFonts w:ascii="仿宋" w:eastAsia="仿宋" w:hAnsi="仿宋" w:cs="FangSong" w:hint="eastAsia"/>
          <w:sz w:val="32"/>
          <w:szCs w:val="32"/>
        </w:rPr>
        <w:t xml:space="preserve">    首先，去年我们积极开展了行业发展状况问卷调查活动，要求各代理机构认真填写调查问卷，主动对行业发展现状、问题和需求进行了了解。</w:t>
      </w:r>
      <w:r w:rsidRPr="00E002C2">
        <w:rPr>
          <w:rFonts w:ascii="仿宋" w:eastAsia="仿宋" w:hAnsi="仿宋" w:cs="FangSong"/>
          <w:sz w:val="32"/>
          <w:szCs w:val="32"/>
        </w:rPr>
        <w:t>2021</w:t>
      </w:r>
      <w:r w:rsidRPr="00E002C2">
        <w:rPr>
          <w:rFonts w:ascii="仿宋" w:eastAsia="仿宋" w:hAnsi="仿宋" w:cs="FangSong" w:hint="eastAsia"/>
          <w:sz w:val="32"/>
          <w:szCs w:val="32"/>
        </w:rPr>
        <w:t>年，委员会成员积极配合各级知识产权管理部门深入开展代理行业</w:t>
      </w:r>
      <w:r w:rsidRPr="00E002C2">
        <w:rPr>
          <w:rFonts w:ascii="仿宋" w:eastAsia="仿宋" w:hAnsi="仿宋" w:cs="FangSong"/>
          <w:sz w:val="32"/>
          <w:szCs w:val="32"/>
        </w:rPr>
        <w:t>“</w:t>
      </w:r>
      <w:r w:rsidRPr="00E002C2">
        <w:rPr>
          <w:rFonts w:ascii="仿宋" w:eastAsia="仿宋" w:hAnsi="仿宋" w:cs="FangSong" w:hint="eastAsia"/>
          <w:sz w:val="32"/>
          <w:szCs w:val="32"/>
        </w:rPr>
        <w:t>蓝天</w:t>
      </w:r>
      <w:r w:rsidRPr="00E002C2">
        <w:rPr>
          <w:rFonts w:ascii="仿宋" w:eastAsia="仿宋" w:hAnsi="仿宋" w:cs="FangSong"/>
          <w:sz w:val="32"/>
          <w:szCs w:val="32"/>
        </w:rPr>
        <w:t>”</w:t>
      </w:r>
      <w:r w:rsidRPr="00E002C2">
        <w:rPr>
          <w:rFonts w:ascii="仿宋" w:eastAsia="仿宋" w:hAnsi="仿宋" w:cs="FangSong" w:hint="eastAsia"/>
          <w:sz w:val="32"/>
          <w:szCs w:val="32"/>
        </w:rPr>
        <w:t>专项整治行动，举办或参与了一系列的活动与座谈会，为倡导各代理机构、专利代理师自觉抵制非正常专利申请行为，营造诚信守法、公平竞争、优胜劣汰的市场环境起到了良好示范作用。</w:t>
      </w:r>
    </w:p>
    <w:p w:rsidR="00E002C2" w:rsidRPr="00E002C2" w:rsidRDefault="00E002C2" w:rsidP="00E002C2">
      <w:pPr>
        <w:pStyle w:val="Default"/>
        <w:jc w:val="both"/>
        <w:rPr>
          <w:rFonts w:ascii="仿宋" w:eastAsia="仿宋" w:hAnsi="仿宋" w:cs="FangSong"/>
          <w:sz w:val="32"/>
          <w:szCs w:val="32"/>
        </w:rPr>
      </w:pPr>
      <w:r w:rsidRPr="00E002C2">
        <w:rPr>
          <w:rFonts w:ascii="仿宋" w:eastAsia="仿宋" w:hAnsi="仿宋" w:cs="FangSong" w:hint="eastAsia"/>
          <w:sz w:val="32"/>
          <w:szCs w:val="32"/>
        </w:rPr>
        <w:t xml:space="preserve">    </w:t>
      </w:r>
      <w:r w:rsidRPr="00E002C2">
        <w:rPr>
          <w:rFonts w:ascii="仿宋" w:eastAsia="仿宋" w:hAnsi="仿宋" w:cs="FangSong"/>
          <w:sz w:val="32"/>
          <w:szCs w:val="32"/>
        </w:rPr>
        <w:t>10</w:t>
      </w:r>
      <w:r w:rsidRPr="00E002C2">
        <w:rPr>
          <w:rFonts w:ascii="仿宋" w:eastAsia="仿宋" w:hAnsi="仿宋" w:cs="FangSong" w:hint="eastAsia"/>
          <w:sz w:val="32"/>
          <w:szCs w:val="32"/>
        </w:rPr>
        <w:t>月，《知识产权强国建设纲要（</w:t>
      </w:r>
      <w:r w:rsidRPr="00E002C2">
        <w:rPr>
          <w:rFonts w:ascii="仿宋" w:eastAsia="仿宋" w:hAnsi="仿宋" w:cs="FangSong"/>
          <w:sz w:val="32"/>
          <w:szCs w:val="32"/>
        </w:rPr>
        <w:t>2021-2035</w:t>
      </w:r>
      <w:r w:rsidRPr="00E002C2">
        <w:rPr>
          <w:rFonts w:ascii="仿宋" w:eastAsia="仿宋" w:hAnsi="仿宋" w:cs="FangSong" w:hint="eastAsia"/>
          <w:sz w:val="32"/>
          <w:szCs w:val="32"/>
        </w:rPr>
        <w:t>年）》和《</w:t>
      </w:r>
      <w:r w:rsidRPr="00E002C2">
        <w:rPr>
          <w:rFonts w:ascii="仿宋" w:eastAsia="仿宋" w:hAnsi="仿宋" w:cs="FangSong"/>
          <w:sz w:val="32"/>
          <w:szCs w:val="32"/>
        </w:rPr>
        <w:t>“</w:t>
      </w:r>
      <w:r w:rsidRPr="00E002C2">
        <w:rPr>
          <w:rFonts w:ascii="仿宋" w:eastAsia="仿宋" w:hAnsi="仿宋" w:cs="FangSong" w:hint="eastAsia"/>
          <w:sz w:val="32"/>
          <w:szCs w:val="32"/>
        </w:rPr>
        <w:t>十</w:t>
      </w:r>
      <w:r w:rsidRPr="00E002C2">
        <w:rPr>
          <w:rFonts w:ascii="仿宋" w:eastAsia="仿宋" w:hAnsi="仿宋" w:cs="FangSong" w:hint="eastAsia"/>
          <w:sz w:val="32"/>
          <w:szCs w:val="32"/>
        </w:rPr>
        <w:lastRenderedPageBreak/>
        <w:t>四五</w:t>
      </w:r>
      <w:r w:rsidRPr="00E002C2">
        <w:rPr>
          <w:rFonts w:ascii="仿宋" w:eastAsia="仿宋" w:hAnsi="仿宋" w:cs="FangSong"/>
          <w:sz w:val="32"/>
          <w:szCs w:val="32"/>
        </w:rPr>
        <w:t>”</w:t>
      </w:r>
      <w:r w:rsidRPr="00E002C2">
        <w:rPr>
          <w:rFonts w:ascii="仿宋" w:eastAsia="仿宋" w:hAnsi="仿宋" w:cs="FangSong" w:hint="eastAsia"/>
          <w:sz w:val="32"/>
          <w:szCs w:val="32"/>
        </w:rPr>
        <w:t>国家知识产权保护和运用规划》发布之后，委员们积极参加协会组织的两次政策解读会，仔细领会纲要和规划的精神和意义，认真思考在我国知识产权事业顶层设计进入新阶段，对知识产权创造、运行、保护提出更多富有挑战性任务，对知识产权人提出更高要求的新形势下，如何加强学习、不断提高思想觉悟和站位，通过书面形式积极建言献策，为协会建设和行业发展贡献力量。</w:t>
      </w:r>
    </w:p>
    <w:p w:rsidR="00E002C2" w:rsidRPr="00E002C2" w:rsidRDefault="00E002C2" w:rsidP="00E002C2">
      <w:pPr>
        <w:autoSpaceDE w:val="0"/>
        <w:autoSpaceDN w:val="0"/>
        <w:adjustRightInd w:val="0"/>
        <w:rPr>
          <w:rFonts w:ascii="仿宋" w:eastAsia="仿宋" w:hAnsi="仿宋" w:cs="FangSong"/>
          <w:color w:val="000000"/>
          <w:kern w:val="0"/>
          <w:sz w:val="32"/>
          <w:szCs w:val="32"/>
        </w:rPr>
      </w:pPr>
      <w:r w:rsidRPr="00E002C2">
        <w:rPr>
          <w:rFonts w:ascii="仿宋" w:eastAsia="仿宋" w:hAnsi="仿宋" w:cs="FangSong" w:hint="eastAsia"/>
          <w:color w:val="000000"/>
          <w:kern w:val="0"/>
          <w:sz w:val="32"/>
          <w:szCs w:val="32"/>
        </w:rPr>
        <w:t xml:space="preserve">    同时，委员们还积极响应协会号召，分别在所在机构认真组织从业人员学习《知识产权强国建设纲要》和《</w:t>
      </w:r>
      <w:r w:rsidRPr="00E002C2">
        <w:rPr>
          <w:rFonts w:ascii="仿宋" w:eastAsia="仿宋" w:hAnsi="仿宋" w:cs="FangSong"/>
          <w:color w:val="000000"/>
          <w:kern w:val="0"/>
          <w:sz w:val="32"/>
          <w:szCs w:val="32"/>
        </w:rPr>
        <w:t>“</w:t>
      </w:r>
      <w:r w:rsidRPr="00E002C2">
        <w:rPr>
          <w:rFonts w:ascii="仿宋" w:eastAsia="仿宋" w:hAnsi="仿宋" w:cs="FangSong" w:hint="eastAsia"/>
          <w:color w:val="000000"/>
          <w:kern w:val="0"/>
          <w:sz w:val="32"/>
          <w:szCs w:val="32"/>
        </w:rPr>
        <w:t>十四五</w:t>
      </w:r>
      <w:r w:rsidRPr="00E002C2">
        <w:rPr>
          <w:rFonts w:ascii="仿宋" w:eastAsia="仿宋" w:hAnsi="仿宋" w:cs="FangSong"/>
          <w:color w:val="000000"/>
          <w:kern w:val="0"/>
          <w:sz w:val="32"/>
          <w:szCs w:val="32"/>
        </w:rPr>
        <w:t>”</w:t>
      </w:r>
      <w:r w:rsidRPr="00E002C2">
        <w:rPr>
          <w:rFonts w:ascii="仿宋" w:eastAsia="仿宋" w:hAnsi="仿宋" w:cs="FangSong" w:hint="eastAsia"/>
          <w:color w:val="000000"/>
          <w:kern w:val="0"/>
          <w:sz w:val="32"/>
          <w:szCs w:val="32"/>
        </w:rPr>
        <w:t>国家知识产权保护和运用规划》，使得广大从业人员充分认识到国家保护知识产权的决心和举措，树立对行业未来发展前景和个人发展空间的信心，激励大家将自己融入国家知识产权战略之中，不忘初心牢记使命，认真做好本职工作，迎接新的挑战。</w:t>
      </w:r>
    </w:p>
    <w:p w:rsidR="00E002C2" w:rsidRDefault="00E002C2" w:rsidP="00E918F8">
      <w:pPr>
        <w:pStyle w:val="Default"/>
        <w:ind w:firstLine="645"/>
        <w:jc w:val="both"/>
        <w:rPr>
          <w:rFonts w:ascii="仿宋" w:eastAsia="仿宋" w:hAnsi="仿宋" w:cs="FangSong"/>
          <w:sz w:val="32"/>
          <w:szCs w:val="32"/>
        </w:rPr>
      </w:pPr>
      <w:r w:rsidRPr="00E002C2">
        <w:rPr>
          <w:rFonts w:ascii="仿宋" w:eastAsia="仿宋" w:hAnsi="仿宋" w:cs="FangSong" w:hint="eastAsia"/>
          <w:sz w:val="32"/>
          <w:szCs w:val="32"/>
        </w:rPr>
        <w:t>本委员会多位委员同时兼任其他专业委员会一个或多个副主任委员和专业委员的职务，各位委员在其他委员会的岗位上，也同样尽心尽责，为协会工作和行业发展添砖加瓦。</w:t>
      </w:r>
    </w:p>
    <w:p w:rsidR="00E918F8" w:rsidRPr="00AF39CF" w:rsidRDefault="00E918F8" w:rsidP="00E918F8">
      <w:pPr>
        <w:adjustRightInd w:val="0"/>
        <w:snapToGrid w:val="0"/>
        <w:spacing w:line="600" w:lineRule="exact"/>
        <w:ind w:firstLineChars="200" w:firstLine="648"/>
        <w:rPr>
          <w:rFonts w:ascii="仿宋" w:eastAsia="仿宋" w:hAnsi="仿宋"/>
          <w:snapToGrid w:val="0"/>
          <w:spacing w:val="2"/>
          <w:kern w:val="0"/>
          <w:sz w:val="32"/>
          <w:szCs w:val="32"/>
        </w:rPr>
      </w:pPr>
      <w:r w:rsidRPr="00AF39CF">
        <w:rPr>
          <w:rFonts w:ascii="仿宋" w:eastAsia="仿宋" w:hAnsi="仿宋" w:hint="eastAsia"/>
          <w:snapToGrid w:val="0"/>
          <w:spacing w:val="2"/>
          <w:kern w:val="0"/>
          <w:sz w:val="32"/>
          <w:szCs w:val="32"/>
        </w:rPr>
        <w:t>2022年，行业发展战略研究委员会将继续推进以下工作：</w:t>
      </w:r>
    </w:p>
    <w:p w:rsidR="00E918F8" w:rsidRDefault="00E918F8" w:rsidP="00E918F8">
      <w:pPr>
        <w:pStyle w:val="Default"/>
        <w:spacing w:line="560" w:lineRule="exact"/>
        <w:ind w:firstLineChars="200" w:firstLine="648"/>
        <w:rPr>
          <w:rFonts w:ascii="仿宋_GB2312" w:eastAsia="仿宋_GB2312" w:hAnsi="Times New Roman" w:cs="Times New Roman"/>
          <w:kern w:val="2"/>
          <w:sz w:val="32"/>
          <w:szCs w:val="32"/>
        </w:rPr>
      </w:pPr>
      <w:r w:rsidRPr="00AF39CF">
        <w:rPr>
          <w:rFonts w:ascii="仿宋" w:eastAsia="仿宋" w:hAnsi="仿宋" w:hint="eastAsia"/>
          <w:snapToGrid w:val="0"/>
          <w:spacing w:val="2"/>
          <w:sz w:val="32"/>
          <w:szCs w:val="32"/>
        </w:rPr>
        <w:t>第一，</w:t>
      </w:r>
      <w:r>
        <w:rPr>
          <w:rFonts w:ascii="仿宋_GB2312" w:eastAsia="仿宋_GB2312" w:hAnsi="Times New Roman" w:cs="Times New Roman" w:hint="eastAsia"/>
          <w:kern w:val="2"/>
          <w:sz w:val="32"/>
          <w:szCs w:val="32"/>
        </w:rPr>
        <w:t>为</w:t>
      </w:r>
      <w:r>
        <w:rPr>
          <w:rFonts w:ascii="仿宋_GB2312" w:eastAsia="仿宋_GB2312" w:hAnsi="Times New Roman" w:cs="Times New Roman"/>
          <w:kern w:val="2"/>
          <w:sz w:val="32"/>
          <w:szCs w:val="32"/>
        </w:rPr>
        <w:t>充分发挥</w:t>
      </w:r>
      <w:r w:rsidRPr="00C936D6">
        <w:rPr>
          <w:rFonts w:ascii="仿宋_GB2312" w:eastAsia="仿宋_GB2312" w:hAnsi="Times New Roman" w:cs="Times New Roman" w:hint="eastAsia"/>
          <w:color w:val="auto"/>
          <w:kern w:val="2"/>
          <w:sz w:val="32"/>
          <w:szCs w:val="32"/>
        </w:rPr>
        <w:t>行业发展战略研究委员会</w:t>
      </w:r>
      <w:r>
        <w:rPr>
          <w:rFonts w:ascii="仿宋_GB2312" w:eastAsia="仿宋_GB2312" w:hAnsi="Times New Roman" w:cs="Times New Roman" w:hint="eastAsia"/>
          <w:kern w:val="2"/>
          <w:sz w:val="32"/>
          <w:szCs w:val="32"/>
        </w:rPr>
        <w:t>的职能</w:t>
      </w:r>
      <w:r>
        <w:rPr>
          <w:rFonts w:ascii="仿宋_GB2312" w:eastAsia="仿宋_GB2312" w:hAnsi="Times New Roman" w:cs="Times New Roman"/>
          <w:kern w:val="2"/>
          <w:sz w:val="32"/>
          <w:szCs w:val="32"/>
        </w:rPr>
        <w:t>和作用，</w:t>
      </w:r>
      <w:r w:rsidRPr="00321FEA">
        <w:rPr>
          <w:rFonts w:ascii="仿宋_GB2312" w:eastAsia="仿宋_GB2312" w:hAnsi="Times New Roman" w:cs="Times New Roman" w:hint="eastAsia"/>
          <w:color w:val="auto"/>
          <w:kern w:val="2"/>
          <w:sz w:val="32"/>
          <w:szCs w:val="32"/>
        </w:rPr>
        <w:t>建立</w:t>
      </w:r>
      <w:r>
        <w:rPr>
          <w:rFonts w:ascii="仿宋_GB2312" w:eastAsia="仿宋_GB2312" w:hAnsi="Times New Roman" w:cs="Times New Roman" w:hint="eastAsia"/>
          <w:kern w:val="2"/>
          <w:sz w:val="32"/>
          <w:szCs w:val="32"/>
        </w:rPr>
        <w:t>定期会议</w:t>
      </w:r>
      <w:r>
        <w:rPr>
          <w:rFonts w:ascii="仿宋_GB2312" w:eastAsia="仿宋_GB2312" w:hAnsi="Times New Roman" w:cs="Times New Roman"/>
          <w:kern w:val="2"/>
          <w:sz w:val="32"/>
          <w:szCs w:val="32"/>
        </w:rPr>
        <w:t>制度</w:t>
      </w:r>
      <w:r>
        <w:rPr>
          <w:rFonts w:ascii="仿宋_GB2312" w:eastAsia="仿宋_GB2312" w:hAnsi="Times New Roman" w:cs="Times New Roman" w:hint="eastAsia"/>
          <w:kern w:val="2"/>
          <w:sz w:val="32"/>
          <w:szCs w:val="32"/>
        </w:rPr>
        <w:t>，</w:t>
      </w:r>
      <w:r w:rsidRPr="00C936D6">
        <w:rPr>
          <w:rFonts w:ascii="仿宋_GB2312" w:eastAsia="仿宋_GB2312" w:hAnsi="Times New Roman" w:cs="Times New Roman" w:hint="eastAsia"/>
          <w:kern w:val="2"/>
          <w:sz w:val="32"/>
          <w:szCs w:val="32"/>
        </w:rPr>
        <w:t>每年定期召开本委员会会议</w:t>
      </w:r>
      <w:r w:rsidRPr="00C936D6">
        <w:rPr>
          <w:rFonts w:ascii="仿宋_GB2312" w:eastAsia="仿宋_GB2312" w:hAnsi="Times New Roman" w:cs="Times New Roman"/>
          <w:kern w:val="2"/>
          <w:sz w:val="32"/>
          <w:szCs w:val="32"/>
        </w:rPr>
        <w:t>2-3</w:t>
      </w:r>
      <w:r w:rsidRPr="00C936D6">
        <w:rPr>
          <w:rFonts w:ascii="仿宋_GB2312" w:eastAsia="仿宋_GB2312" w:hAnsi="Times New Roman" w:cs="Times New Roman" w:hint="eastAsia"/>
          <w:kern w:val="2"/>
          <w:sz w:val="32"/>
          <w:szCs w:val="32"/>
        </w:rPr>
        <w:t>次。</w:t>
      </w:r>
    </w:p>
    <w:p w:rsidR="00E918F8" w:rsidRPr="00CF548F" w:rsidRDefault="00E918F8" w:rsidP="00E918F8">
      <w:pPr>
        <w:pStyle w:val="1"/>
        <w:spacing w:after="0" w:line="240" w:lineRule="auto"/>
        <w:ind w:firstLineChars="200" w:firstLine="640"/>
        <w:rPr>
          <w:rFonts w:ascii="仿宋_GB2312" w:eastAsia="仿宋_GB2312" w:hAnsi="Times New Roman" w:cs="Times New Roman"/>
          <w:color w:val="000000" w:themeColor="text1"/>
          <w:sz w:val="32"/>
          <w:szCs w:val="32"/>
          <w:lang w:val="en-US" w:bidi="ar-SA"/>
        </w:rPr>
      </w:pPr>
      <w:r w:rsidRPr="00CF548F">
        <w:rPr>
          <w:rFonts w:ascii="仿宋_GB2312" w:eastAsia="仿宋_GB2312" w:hAnsi="Times New Roman" w:cs="Times New Roman" w:hint="eastAsia"/>
          <w:color w:val="000000" w:themeColor="text1"/>
          <w:sz w:val="32"/>
          <w:szCs w:val="32"/>
        </w:rPr>
        <w:lastRenderedPageBreak/>
        <w:t>第</w:t>
      </w:r>
      <w:r>
        <w:rPr>
          <w:rFonts w:ascii="仿宋_GB2312" w:eastAsia="仿宋_GB2312" w:hAnsi="Times New Roman" w:cs="Times New Roman" w:hint="eastAsia"/>
          <w:color w:val="000000" w:themeColor="text1"/>
          <w:sz w:val="32"/>
          <w:szCs w:val="32"/>
          <w:lang w:val="en-US" w:bidi="ar-SA"/>
        </w:rPr>
        <w:t>二，</w:t>
      </w:r>
      <w:r w:rsidRPr="00CF548F">
        <w:rPr>
          <w:rFonts w:ascii="仿宋_GB2312" w:eastAsia="仿宋_GB2312" w:hint="eastAsia"/>
          <w:color w:val="000000" w:themeColor="text1"/>
          <w:sz w:val="32"/>
          <w:szCs w:val="32"/>
        </w:rPr>
        <w:t>积极</w:t>
      </w:r>
      <w:r>
        <w:rPr>
          <w:rFonts w:ascii="仿宋_GB2312" w:eastAsia="仿宋_GB2312" w:hAnsi="Times New Roman" w:cs="Times New Roman" w:hint="eastAsia"/>
          <w:color w:val="000000" w:themeColor="text1"/>
          <w:sz w:val="32"/>
          <w:szCs w:val="32"/>
          <w:lang w:val="en-US" w:bidi="ar-SA"/>
        </w:rPr>
        <w:t>参与制定</w:t>
      </w:r>
      <w:r w:rsidRPr="00CF548F">
        <w:rPr>
          <w:rFonts w:ascii="仿宋_GB2312" w:eastAsia="仿宋_GB2312" w:hAnsi="Times New Roman" w:cs="Times New Roman" w:hint="eastAsia"/>
          <w:color w:val="000000" w:themeColor="text1"/>
          <w:sz w:val="32"/>
          <w:szCs w:val="32"/>
          <w:lang w:val="en-US" w:bidi="ar-SA"/>
        </w:rPr>
        <w:t>“十四五”期间推进专利代理行业高质量发展行动计划。</w:t>
      </w:r>
    </w:p>
    <w:p w:rsidR="00E918F8" w:rsidRPr="00CF548F" w:rsidRDefault="00E918F8" w:rsidP="00E918F8">
      <w:pPr>
        <w:pStyle w:val="1"/>
        <w:spacing w:after="0" w:line="240" w:lineRule="auto"/>
        <w:ind w:firstLineChars="200" w:firstLine="640"/>
        <w:rPr>
          <w:color w:val="000000" w:themeColor="text1"/>
        </w:rPr>
      </w:pPr>
      <w:r w:rsidRPr="00CF548F">
        <w:rPr>
          <w:rFonts w:ascii="仿宋_GB2312" w:eastAsia="仿宋_GB2312" w:hAnsi="Times New Roman" w:cs="Times New Roman" w:hint="eastAsia"/>
          <w:color w:val="000000" w:themeColor="text1"/>
          <w:sz w:val="32"/>
          <w:szCs w:val="32"/>
          <w:lang w:val="en-US" w:bidi="ar-SA"/>
        </w:rPr>
        <w:t>第三，</w:t>
      </w:r>
      <w:r w:rsidRPr="00CF548F">
        <w:rPr>
          <w:rFonts w:ascii="仿宋_GB2312" w:eastAsia="仿宋_GB2312" w:hint="eastAsia"/>
          <w:color w:val="000000" w:themeColor="text1"/>
          <w:sz w:val="32"/>
          <w:szCs w:val="32"/>
        </w:rPr>
        <w:t>积极参与</w:t>
      </w:r>
      <w:r w:rsidRPr="00CF548F">
        <w:rPr>
          <w:rFonts w:ascii="仿宋_GB2312" w:eastAsia="仿宋_GB2312"/>
          <w:color w:val="000000" w:themeColor="text1"/>
          <w:sz w:val="32"/>
          <w:szCs w:val="32"/>
        </w:rPr>
        <w:t>《推进专利代理行业高质量发展行动计划》落实工作</w:t>
      </w:r>
      <w:r w:rsidRPr="00CF548F">
        <w:rPr>
          <w:rFonts w:ascii="仿宋_GB2312" w:eastAsia="仿宋_GB2312" w:hint="eastAsia"/>
          <w:color w:val="000000" w:themeColor="text1"/>
          <w:sz w:val="32"/>
          <w:szCs w:val="32"/>
        </w:rPr>
        <w:t>，</w:t>
      </w:r>
      <w:r w:rsidRPr="00CF548F">
        <w:rPr>
          <w:rFonts w:ascii="仿宋_GB2312" w:eastAsia="仿宋_GB2312"/>
          <w:color w:val="000000" w:themeColor="text1"/>
          <w:sz w:val="32"/>
          <w:szCs w:val="32"/>
        </w:rPr>
        <w:t>指导各地方、相关单位落实专利行业高质量发展工作举措，及时总结上报各地工作推进进展成效</w:t>
      </w:r>
      <w:r w:rsidRPr="00CF548F">
        <w:rPr>
          <w:rFonts w:ascii="仿宋_GB2312" w:eastAsia="仿宋_GB2312" w:hint="eastAsia"/>
          <w:color w:val="000000" w:themeColor="text1"/>
          <w:sz w:val="32"/>
          <w:szCs w:val="32"/>
        </w:rPr>
        <w:t>。</w:t>
      </w:r>
    </w:p>
    <w:p w:rsidR="00E918F8" w:rsidRPr="00CF548F" w:rsidRDefault="00E918F8" w:rsidP="00E918F8">
      <w:pPr>
        <w:adjustRightInd w:val="0"/>
        <w:snapToGrid w:val="0"/>
        <w:spacing w:line="600" w:lineRule="exact"/>
        <w:ind w:firstLine="660"/>
        <w:rPr>
          <w:rFonts w:ascii="仿宋_GB2312" w:eastAsia="仿宋_GB2312"/>
          <w:color w:val="000000" w:themeColor="text1"/>
          <w:sz w:val="32"/>
          <w:szCs w:val="32"/>
        </w:rPr>
      </w:pPr>
      <w:r w:rsidRPr="00CF548F">
        <w:rPr>
          <w:rFonts w:ascii="仿宋_GB2312" w:eastAsia="仿宋_GB2312" w:hint="eastAsia"/>
          <w:color w:val="000000" w:themeColor="text1"/>
          <w:sz w:val="32"/>
          <w:szCs w:val="32"/>
        </w:rPr>
        <w:t>第四，</w:t>
      </w:r>
      <w:r w:rsidRPr="00C619C0">
        <w:rPr>
          <w:rFonts w:ascii="仿宋" w:eastAsia="仿宋" w:hAnsi="仿宋"/>
          <w:snapToGrid w:val="0"/>
          <w:spacing w:val="2"/>
          <w:sz w:val="32"/>
          <w:szCs w:val="32"/>
        </w:rPr>
        <w:t>加强与</w:t>
      </w:r>
      <w:r w:rsidRPr="00C619C0">
        <w:rPr>
          <w:rFonts w:ascii="仿宋" w:eastAsia="仿宋" w:hAnsi="仿宋" w:hint="eastAsia"/>
          <w:snapToGrid w:val="0"/>
          <w:spacing w:val="2"/>
          <w:sz w:val="32"/>
          <w:szCs w:val="32"/>
        </w:rPr>
        <w:t>协会</w:t>
      </w:r>
      <w:r w:rsidRPr="00C619C0">
        <w:rPr>
          <w:rFonts w:ascii="仿宋" w:eastAsia="仿宋" w:hAnsi="仿宋"/>
          <w:snapToGrid w:val="0"/>
          <w:spacing w:val="2"/>
          <w:sz w:val="32"/>
          <w:szCs w:val="32"/>
        </w:rPr>
        <w:t>其他委员会的合作和交流，一起探讨和研究</w:t>
      </w:r>
      <w:r w:rsidRPr="00C619C0">
        <w:rPr>
          <w:rFonts w:ascii="仿宋" w:eastAsia="仿宋" w:hAnsi="仿宋" w:hint="eastAsia"/>
          <w:snapToGrid w:val="0"/>
          <w:spacing w:val="2"/>
          <w:sz w:val="32"/>
          <w:szCs w:val="32"/>
        </w:rPr>
        <w:t>专利代理</w:t>
      </w:r>
      <w:r w:rsidRPr="00C619C0">
        <w:rPr>
          <w:rFonts w:ascii="仿宋" w:eastAsia="仿宋" w:hAnsi="仿宋"/>
          <w:snapToGrid w:val="0"/>
          <w:spacing w:val="2"/>
          <w:sz w:val="32"/>
          <w:szCs w:val="32"/>
        </w:rPr>
        <w:t>行业发展的路径</w:t>
      </w:r>
      <w:r>
        <w:rPr>
          <w:rFonts w:ascii="仿宋" w:eastAsia="仿宋" w:hAnsi="仿宋" w:hint="eastAsia"/>
          <w:snapToGrid w:val="0"/>
          <w:spacing w:val="2"/>
          <w:sz w:val="32"/>
          <w:szCs w:val="32"/>
        </w:rPr>
        <w:t>。</w:t>
      </w:r>
    </w:p>
    <w:p w:rsidR="00E918F8" w:rsidRPr="00C25E2B" w:rsidRDefault="00E918F8" w:rsidP="00E918F8">
      <w:pPr>
        <w:adjustRightInd w:val="0"/>
        <w:snapToGrid w:val="0"/>
        <w:spacing w:line="600" w:lineRule="exact"/>
        <w:rPr>
          <w:rFonts w:ascii="仿宋" w:eastAsia="仿宋" w:hAnsi="仿宋"/>
          <w:snapToGrid w:val="0"/>
          <w:spacing w:val="2"/>
          <w:kern w:val="0"/>
          <w:sz w:val="32"/>
          <w:szCs w:val="32"/>
        </w:rPr>
      </w:pPr>
      <w:r w:rsidRPr="00AF39CF">
        <w:rPr>
          <w:rFonts w:ascii="仿宋" w:eastAsia="仿宋" w:hAnsi="仿宋" w:hint="eastAsia"/>
          <w:snapToGrid w:val="0"/>
          <w:spacing w:val="2"/>
          <w:kern w:val="0"/>
          <w:sz w:val="32"/>
          <w:szCs w:val="32"/>
        </w:rPr>
        <w:t xml:space="preserve">    </w:t>
      </w:r>
      <w:r>
        <w:rPr>
          <w:rFonts w:ascii="仿宋" w:eastAsia="仿宋" w:hAnsi="仿宋" w:hint="eastAsia"/>
          <w:snapToGrid w:val="0"/>
          <w:spacing w:val="2"/>
          <w:kern w:val="0"/>
          <w:sz w:val="32"/>
          <w:szCs w:val="32"/>
        </w:rPr>
        <w:t>第五</w:t>
      </w:r>
      <w:r w:rsidRPr="00AF39CF">
        <w:rPr>
          <w:rFonts w:ascii="仿宋" w:eastAsia="仿宋" w:hAnsi="仿宋" w:hint="eastAsia"/>
          <w:snapToGrid w:val="0"/>
          <w:spacing w:val="2"/>
          <w:kern w:val="0"/>
          <w:sz w:val="32"/>
          <w:szCs w:val="32"/>
        </w:rPr>
        <w:t>，</w:t>
      </w:r>
      <w:r w:rsidRPr="00F47C55">
        <w:rPr>
          <w:rFonts w:ascii="仿宋" w:eastAsia="仿宋" w:hAnsi="仿宋" w:hint="eastAsia"/>
          <w:snapToGrid w:val="0"/>
          <w:color w:val="000000"/>
          <w:spacing w:val="2"/>
          <w:kern w:val="0"/>
          <w:sz w:val="32"/>
          <w:szCs w:val="32"/>
        </w:rPr>
        <w:t>认真做好协会理事会、常务理事会、会长会安排布置的工作</w:t>
      </w:r>
      <w:r>
        <w:rPr>
          <w:rFonts w:ascii="仿宋" w:eastAsia="仿宋" w:hAnsi="仿宋" w:hint="eastAsia"/>
          <w:snapToGrid w:val="0"/>
          <w:color w:val="000000"/>
          <w:spacing w:val="2"/>
          <w:kern w:val="0"/>
          <w:sz w:val="32"/>
          <w:szCs w:val="32"/>
        </w:rPr>
        <w:t>，</w:t>
      </w:r>
      <w:r w:rsidRPr="00B922A4">
        <w:rPr>
          <w:rFonts w:ascii="仿宋_GB2312" w:eastAsia="仿宋_GB2312" w:hAnsi="仿宋_GB2312" w:cs="仿宋_GB2312" w:hint="eastAsia"/>
          <w:sz w:val="32"/>
          <w:szCs w:val="32"/>
        </w:rPr>
        <w:t>紧扣协会重点工作部署，充分发挥专业优势和职能作用，积极推动工作落实</w:t>
      </w:r>
      <w:r>
        <w:rPr>
          <w:rFonts w:ascii="仿宋_GB2312" w:eastAsia="仿宋_GB2312" w:hAnsi="仿宋_GB2312" w:cs="仿宋_GB2312" w:hint="eastAsia"/>
          <w:sz w:val="32"/>
          <w:szCs w:val="32"/>
        </w:rPr>
        <w:t>。</w:t>
      </w:r>
    </w:p>
    <w:p w:rsidR="00E918F8" w:rsidRPr="00E918F8" w:rsidRDefault="00E918F8" w:rsidP="00E918F8">
      <w:pPr>
        <w:pStyle w:val="Default"/>
        <w:ind w:firstLine="645"/>
        <w:jc w:val="both"/>
        <w:rPr>
          <w:rFonts w:ascii="仿宋" w:eastAsia="仿宋" w:hAnsi="仿宋" w:cs="Calibri"/>
          <w:sz w:val="32"/>
          <w:szCs w:val="32"/>
        </w:rPr>
      </w:pPr>
    </w:p>
    <w:sectPr w:rsidR="00E918F8" w:rsidRPr="00E918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71" w:rsidRDefault="00EF1F71" w:rsidP="00696901">
      <w:r>
        <w:separator/>
      </w:r>
    </w:p>
  </w:endnote>
  <w:endnote w:type="continuationSeparator" w:id="0">
    <w:p w:rsidR="00EF1F71" w:rsidRDefault="00EF1F71" w:rsidP="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altName w:val="Arial Unicode MS"/>
    <w:panose1 w:val="00000000000000000000"/>
    <w:charset w:val="00"/>
    <w:family w:val="swiss"/>
    <w:notTrueType/>
    <w:pitch w:val="default"/>
    <w:sig w:usb0="00000000"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09824"/>
      <w:docPartObj>
        <w:docPartGallery w:val="Page Numbers (Bottom of Page)"/>
        <w:docPartUnique/>
      </w:docPartObj>
    </w:sdtPr>
    <w:sdtEndPr/>
    <w:sdtContent>
      <w:p w:rsidR="00696901" w:rsidRDefault="00696901">
        <w:pPr>
          <w:pStyle w:val="a4"/>
          <w:jc w:val="center"/>
        </w:pPr>
        <w:r>
          <w:fldChar w:fldCharType="begin"/>
        </w:r>
        <w:r>
          <w:instrText>PAGE   \* MERGEFORMAT</w:instrText>
        </w:r>
        <w:r>
          <w:fldChar w:fldCharType="separate"/>
        </w:r>
        <w:r w:rsidR="00325D8D" w:rsidRPr="00325D8D">
          <w:rPr>
            <w:noProof/>
            <w:lang w:val="zh-CN"/>
          </w:rPr>
          <w:t>3</w:t>
        </w:r>
        <w:r>
          <w:fldChar w:fldCharType="end"/>
        </w:r>
      </w:p>
    </w:sdtContent>
  </w:sdt>
  <w:p w:rsidR="00696901" w:rsidRDefault="006969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71" w:rsidRDefault="00EF1F71" w:rsidP="00696901">
      <w:r>
        <w:separator/>
      </w:r>
    </w:p>
  </w:footnote>
  <w:footnote w:type="continuationSeparator" w:id="0">
    <w:p w:rsidR="00EF1F71" w:rsidRDefault="00EF1F71" w:rsidP="0069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2"/>
    <w:rsid w:val="00007B48"/>
    <w:rsid w:val="00040219"/>
    <w:rsid w:val="00100D29"/>
    <w:rsid w:val="00325D8D"/>
    <w:rsid w:val="0033526E"/>
    <w:rsid w:val="0048518A"/>
    <w:rsid w:val="00696901"/>
    <w:rsid w:val="00E002C2"/>
    <w:rsid w:val="00E36733"/>
    <w:rsid w:val="00E918F8"/>
    <w:rsid w:val="00EF1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FB075-35F9-4D12-9943-3062B011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2C2"/>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696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901"/>
    <w:rPr>
      <w:sz w:val="18"/>
      <w:szCs w:val="18"/>
    </w:rPr>
  </w:style>
  <w:style w:type="paragraph" w:styleId="a4">
    <w:name w:val="footer"/>
    <w:basedOn w:val="a"/>
    <w:link w:val="Char0"/>
    <w:uiPriority w:val="99"/>
    <w:unhideWhenUsed/>
    <w:rsid w:val="00696901"/>
    <w:pPr>
      <w:tabs>
        <w:tab w:val="center" w:pos="4153"/>
        <w:tab w:val="right" w:pos="8306"/>
      </w:tabs>
      <w:snapToGrid w:val="0"/>
      <w:jc w:val="left"/>
    </w:pPr>
    <w:rPr>
      <w:sz w:val="18"/>
      <w:szCs w:val="18"/>
    </w:rPr>
  </w:style>
  <w:style w:type="character" w:customStyle="1" w:styleId="Char0">
    <w:name w:val="页脚 Char"/>
    <w:basedOn w:val="a0"/>
    <w:link w:val="a4"/>
    <w:uiPriority w:val="99"/>
    <w:rsid w:val="00696901"/>
    <w:rPr>
      <w:sz w:val="18"/>
      <w:szCs w:val="18"/>
    </w:rPr>
  </w:style>
  <w:style w:type="character" w:customStyle="1" w:styleId="a5">
    <w:name w:val="正文文本_"/>
    <w:basedOn w:val="a0"/>
    <w:link w:val="1"/>
    <w:rsid w:val="00E918F8"/>
    <w:rPr>
      <w:rFonts w:ascii="宋体" w:eastAsia="宋体" w:hAnsi="宋体" w:cs="宋体"/>
      <w:sz w:val="26"/>
      <w:szCs w:val="26"/>
      <w:lang w:val="zh-CN" w:bidi="zh-CN"/>
    </w:rPr>
  </w:style>
  <w:style w:type="paragraph" w:customStyle="1" w:styleId="1">
    <w:name w:val="正文文本1"/>
    <w:basedOn w:val="a"/>
    <w:link w:val="a5"/>
    <w:rsid w:val="00E918F8"/>
    <w:pPr>
      <w:spacing w:after="320" w:line="295" w:lineRule="auto"/>
      <w:jc w:val="left"/>
    </w:pPr>
    <w:rPr>
      <w:rFonts w:ascii="宋体" w:eastAsia="宋体" w:hAnsi="宋体" w:cs="宋体"/>
      <w:sz w:val="26"/>
      <w:szCs w:val="26"/>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hxl</dc:creator>
  <cp:keywords/>
  <dc:description/>
  <cp:lastModifiedBy>g</cp:lastModifiedBy>
  <cp:revision>5</cp:revision>
  <cp:lastPrinted>2022-05-05T06:48:00Z</cp:lastPrinted>
  <dcterms:created xsi:type="dcterms:W3CDTF">2022-05-05T07:31:00Z</dcterms:created>
  <dcterms:modified xsi:type="dcterms:W3CDTF">2022-05-16T06:10:00Z</dcterms:modified>
</cp:coreProperties>
</file>