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ascii="方正小标宋简体" w:hAnsi="黑体" w:eastAsia="方正小标宋简体" w:cs="方正小标宋简体"/>
          <w:snapToGrid w:val="0"/>
          <w:spacing w:val="2"/>
          <w:kern w:val="0"/>
          <w:sz w:val="44"/>
          <w:szCs w:val="44"/>
          <w:lang w:val="zh-CN"/>
        </w:rPr>
      </w:pPr>
      <w:r>
        <w:rPr>
          <w:rFonts w:hint="eastAsia" w:ascii="方正小标宋简体" w:hAnsi="黑体" w:eastAsia="方正小标宋简体" w:cs="方正小标宋简体"/>
          <w:snapToGrid w:val="0"/>
          <w:spacing w:val="2"/>
          <w:kern w:val="0"/>
          <w:sz w:val="44"/>
          <w:szCs w:val="44"/>
          <w:lang w:val="zh-CN"/>
        </w:rPr>
        <w:t>中华全国专利代理师协会</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ascii="方正小标宋简体" w:hAnsi="黑体" w:eastAsia="方正小标宋简体" w:cs="方正小标宋简体"/>
          <w:snapToGrid w:val="0"/>
          <w:spacing w:val="2"/>
          <w:kern w:val="0"/>
          <w:sz w:val="44"/>
          <w:szCs w:val="44"/>
          <w:lang w:val="zh-CN"/>
        </w:rPr>
      </w:pPr>
      <w:r>
        <w:rPr>
          <w:rFonts w:hint="eastAsia" w:ascii="方正小标宋简体" w:hAnsi="黑体" w:eastAsia="方正小标宋简体" w:cs="方正小标宋简体"/>
          <w:snapToGrid w:val="0"/>
          <w:spacing w:val="2"/>
          <w:kern w:val="0"/>
          <w:sz w:val="44"/>
          <w:szCs w:val="44"/>
          <w:lang w:val="zh-CN"/>
        </w:rPr>
        <w:t>兼职技术调查官、技术调查官助理候选人推荐</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ascii="方正小标宋简体" w:hAnsi="黑体" w:eastAsia="方正小标宋简体" w:cs="方正小标宋简体"/>
          <w:snapToGrid w:val="0"/>
          <w:spacing w:val="2"/>
          <w:kern w:val="0"/>
          <w:sz w:val="44"/>
          <w:szCs w:val="44"/>
          <w:lang w:val="zh-CN"/>
        </w:rPr>
      </w:pPr>
      <w:r>
        <w:rPr>
          <w:rFonts w:hint="eastAsia" w:ascii="方正小标宋简体" w:hAnsi="黑体" w:eastAsia="方正小标宋简体" w:cs="方正小标宋简体"/>
          <w:snapToGrid w:val="0"/>
          <w:spacing w:val="2"/>
          <w:kern w:val="0"/>
          <w:sz w:val="44"/>
          <w:szCs w:val="44"/>
          <w:lang w:val="zh-CN"/>
        </w:rPr>
        <w:t>工作管理办法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黑体" w:eastAsia="仿宋_GB2312" w:cs="Times New Roman"/>
          <w:snapToGrid w:val="0"/>
          <w:spacing w:val="2"/>
          <w:kern w:val="0"/>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cs="仿宋"/>
          <w:snapToGrid w:val="0"/>
          <w:spacing w:val="2"/>
          <w:sz w:val="32"/>
          <w:szCs w:val="32"/>
          <w:lang w:val="zh-CN"/>
        </w:rPr>
      </w:pPr>
      <w:r>
        <w:rPr>
          <w:rFonts w:hint="eastAsia" w:ascii="黑体" w:hAnsi="黑体" w:eastAsia="黑体" w:cs="仿宋"/>
          <w:snapToGrid w:val="0"/>
          <w:spacing w:val="2"/>
          <w:sz w:val="32"/>
          <w:szCs w:val="32"/>
          <w:lang w:val="zh-CN"/>
        </w:rPr>
        <w:t>第一章  总则</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第一条</w:t>
      </w:r>
      <w:r>
        <w:rPr>
          <w:rFonts w:hint="eastAsia" w:ascii="仿宋_GB2312" w:hAnsi="仿宋" w:eastAsia="仿宋_GB2312" w:cs="仿宋"/>
          <w:snapToGrid w:val="0"/>
          <w:spacing w:val="2"/>
          <w:sz w:val="32"/>
          <w:szCs w:val="32"/>
          <w:lang w:val="zh-CN"/>
        </w:rPr>
        <w:t xml:space="preserve">  为进一步规范兼职技术调查官、技术调查官助理候选人推荐工作，充分发挥专利代理师在知识产权保护中的专业支撑作用，根据有关法律法规以及《中华全国专利代理师协会章程》，制定本办法。</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第二条</w:t>
      </w:r>
      <w:r>
        <w:rPr>
          <w:rFonts w:hint="eastAsia" w:ascii="仿宋_GB2312" w:hAnsi="仿宋" w:eastAsia="仿宋_GB2312" w:cs="仿宋"/>
          <w:snapToGrid w:val="0"/>
          <w:spacing w:val="2"/>
          <w:sz w:val="32"/>
          <w:szCs w:val="32"/>
          <w:lang w:val="zh-CN"/>
        </w:rPr>
        <w:t xml:space="preserve">  本办法适用于兼职技术调查官、技术调查官助理候选人的推荐</w:t>
      </w:r>
      <w:r>
        <w:rPr>
          <w:rFonts w:ascii="仿宋_GB2312" w:hAnsi="仿宋" w:eastAsia="仿宋_GB2312" w:cs="仿宋"/>
          <w:snapToGrid w:val="0"/>
          <w:spacing w:val="2"/>
          <w:sz w:val="32"/>
          <w:szCs w:val="32"/>
          <w:lang w:val="zh-CN"/>
        </w:rPr>
        <w:t>管理</w:t>
      </w:r>
      <w:r>
        <w:rPr>
          <w:rFonts w:hint="eastAsia" w:ascii="仿宋_GB2312" w:hAnsi="仿宋" w:eastAsia="仿宋_GB2312" w:cs="仿宋"/>
          <w:snapToGrid w:val="0"/>
          <w:spacing w:val="2"/>
          <w:sz w:val="32"/>
          <w:szCs w:val="32"/>
          <w:lang w:val="zh-CN"/>
        </w:rPr>
        <w:t>。</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60"/>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b/>
          <w:snapToGrid w:val="0"/>
          <w:spacing w:val="2"/>
          <w:sz w:val="32"/>
          <w:szCs w:val="32"/>
          <w:lang w:val="zh-CN"/>
        </w:rPr>
        <w:t>第三条</w:t>
      </w:r>
      <w:r>
        <w:rPr>
          <w:rFonts w:hint="eastAsia" w:ascii="仿宋_GB2312" w:hAnsi="仿宋" w:eastAsia="仿宋_GB2312" w:cs="仿宋"/>
          <w:snapToGrid w:val="0"/>
          <w:spacing w:val="2"/>
          <w:sz w:val="32"/>
          <w:szCs w:val="32"/>
          <w:lang w:val="zh-CN"/>
        </w:rPr>
        <w:t xml:space="preserve">  推荐工作由</w:t>
      </w:r>
      <w:r>
        <w:rPr>
          <w:rFonts w:ascii="仿宋_GB2312" w:hAnsi="仿宋" w:eastAsia="仿宋_GB2312" w:cs="仿宋"/>
          <w:snapToGrid w:val="0"/>
          <w:spacing w:val="2"/>
          <w:sz w:val="32"/>
          <w:szCs w:val="32"/>
          <w:lang w:val="zh-CN"/>
        </w:rPr>
        <w:t>中华全国专利代理师协会</w:t>
      </w:r>
      <w:r>
        <w:rPr>
          <w:rFonts w:hint="eastAsia" w:ascii="仿宋_GB2312" w:hAnsi="仿宋" w:eastAsia="仿宋_GB2312" w:cs="仿宋"/>
          <w:snapToGrid w:val="0"/>
          <w:spacing w:val="2"/>
          <w:sz w:val="32"/>
          <w:szCs w:val="32"/>
          <w:lang w:val="zh-CN"/>
        </w:rPr>
        <w:t>诉讼代理管理工作委员会（以下</w:t>
      </w:r>
      <w:r>
        <w:rPr>
          <w:rFonts w:ascii="仿宋_GB2312" w:hAnsi="仿宋" w:eastAsia="仿宋_GB2312" w:cs="仿宋"/>
          <w:snapToGrid w:val="0"/>
          <w:spacing w:val="2"/>
          <w:sz w:val="32"/>
          <w:szCs w:val="32"/>
          <w:lang w:val="zh-CN"/>
        </w:rPr>
        <w:t>简称</w:t>
      </w:r>
      <w:r>
        <w:rPr>
          <w:rFonts w:hint="eastAsia" w:ascii="仿宋_GB2312" w:hAnsi="仿宋" w:eastAsia="仿宋_GB2312" w:cs="仿宋"/>
          <w:snapToGrid w:val="0"/>
          <w:spacing w:val="2"/>
          <w:sz w:val="32"/>
          <w:szCs w:val="32"/>
          <w:lang w:val="zh-CN"/>
        </w:rPr>
        <w:t>诉讼代理管理工作委员会）负责，</w:t>
      </w:r>
      <w:r>
        <w:rPr>
          <w:rFonts w:ascii="仿宋_GB2312" w:hAnsi="仿宋" w:eastAsia="仿宋_GB2312" w:cs="仿宋"/>
          <w:snapToGrid w:val="0"/>
          <w:spacing w:val="2"/>
          <w:sz w:val="32"/>
          <w:szCs w:val="32"/>
          <w:lang w:val="zh-CN"/>
        </w:rPr>
        <w:t>中华全国专利代理师协会</w:t>
      </w:r>
      <w:r>
        <w:rPr>
          <w:rFonts w:hint="eastAsia" w:ascii="仿宋_GB2312" w:hAnsi="仿宋" w:eastAsia="仿宋_GB2312" w:cs="仿宋"/>
          <w:snapToGrid w:val="0"/>
          <w:spacing w:val="2"/>
          <w:sz w:val="32"/>
          <w:szCs w:val="32"/>
          <w:lang w:val="zh-CN"/>
        </w:rPr>
        <w:t>秘书处（以下</w:t>
      </w:r>
      <w:r>
        <w:rPr>
          <w:rFonts w:ascii="仿宋_GB2312" w:hAnsi="仿宋" w:eastAsia="仿宋_GB2312" w:cs="仿宋"/>
          <w:snapToGrid w:val="0"/>
          <w:spacing w:val="2"/>
          <w:sz w:val="32"/>
          <w:szCs w:val="32"/>
          <w:lang w:val="zh-CN"/>
        </w:rPr>
        <w:t>简称秘书处</w:t>
      </w:r>
      <w:r>
        <w:rPr>
          <w:rFonts w:hint="eastAsia" w:ascii="仿宋_GB2312" w:hAnsi="仿宋" w:eastAsia="仿宋_GB2312" w:cs="仿宋"/>
          <w:snapToGrid w:val="0"/>
          <w:spacing w:val="2"/>
          <w:sz w:val="32"/>
          <w:szCs w:val="32"/>
          <w:lang w:val="zh-CN"/>
        </w:rPr>
        <w:t>）协助</w:t>
      </w:r>
      <w:r>
        <w:rPr>
          <w:rFonts w:ascii="仿宋_GB2312" w:hAnsi="仿宋" w:eastAsia="仿宋_GB2312" w:cs="仿宋"/>
          <w:snapToGrid w:val="0"/>
          <w:spacing w:val="2"/>
          <w:sz w:val="32"/>
          <w:szCs w:val="32"/>
          <w:lang w:val="zh-CN"/>
        </w:rPr>
        <w:t>开展</w:t>
      </w:r>
      <w:r>
        <w:rPr>
          <w:rFonts w:hint="eastAsia" w:ascii="仿宋_GB2312" w:hAnsi="仿宋" w:eastAsia="仿宋_GB2312" w:cs="仿宋"/>
          <w:snapToGrid w:val="0"/>
          <w:spacing w:val="2"/>
          <w:sz w:val="32"/>
          <w:szCs w:val="32"/>
          <w:lang w:val="zh-CN"/>
        </w:rPr>
        <w:t>日常工作。</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cs="仿宋"/>
          <w:snapToGrid w:val="0"/>
          <w:spacing w:val="2"/>
          <w:sz w:val="32"/>
          <w:szCs w:val="32"/>
          <w:lang w:val="zh-CN"/>
        </w:rPr>
      </w:pPr>
      <w:r>
        <w:rPr>
          <w:rFonts w:hint="eastAsia" w:ascii="黑体" w:hAnsi="黑体" w:eastAsia="黑体" w:cs="仿宋"/>
          <w:snapToGrid w:val="0"/>
          <w:spacing w:val="2"/>
          <w:sz w:val="32"/>
          <w:szCs w:val="32"/>
          <w:lang w:val="zh-CN"/>
        </w:rPr>
        <w:t>第二章  申报条件</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第四条</w:t>
      </w:r>
      <w:r>
        <w:rPr>
          <w:rFonts w:hint="eastAsia" w:ascii="仿宋_GB2312" w:hAnsi="仿宋" w:eastAsia="仿宋_GB2312" w:cs="仿宋"/>
          <w:snapToGrid w:val="0"/>
          <w:spacing w:val="2"/>
          <w:sz w:val="32"/>
          <w:szCs w:val="32"/>
          <w:lang w:val="zh-CN"/>
        </w:rPr>
        <w:t xml:space="preserve">  专利代理师申报兼职技术调查官、技术调查官助理候选人，应当满足以下基本条件：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lang w:val="zh-CN"/>
        </w:rPr>
      </w:pPr>
      <w:r>
        <w:rPr>
          <w:rFonts w:hint="eastAsia" w:ascii="仿宋_GB2312" w:hAnsi="仿宋" w:eastAsia="仿宋_GB2312" w:cs="仿宋"/>
          <w:snapToGrid w:val="0"/>
          <w:spacing w:val="2"/>
          <w:kern w:val="0"/>
          <w:sz w:val="32"/>
          <w:szCs w:val="32"/>
          <w:lang w:val="zh-CN"/>
        </w:rPr>
        <w:t xml:space="preserve">    （一）具有中华人民共和国国籍；</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lang w:val="zh-CN"/>
        </w:rPr>
      </w:pPr>
      <w:r>
        <w:rPr>
          <w:rFonts w:hint="eastAsia" w:ascii="仿宋_GB2312" w:hAnsi="仿宋" w:eastAsia="仿宋_GB2312" w:cs="仿宋"/>
          <w:snapToGrid w:val="0"/>
          <w:spacing w:val="2"/>
          <w:kern w:val="0"/>
          <w:sz w:val="32"/>
          <w:szCs w:val="32"/>
          <w:lang w:val="zh-CN"/>
        </w:rPr>
        <w:t xml:space="preserve">    （二）</w:t>
      </w:r>
      <w:r>
        <w:rPr>
          <w:rFonts w:hint="eastAsia" w:ascii="仿宋_GB2312" w:hAnsi="仿宋" w:eastAsia="仿宋_GB2312" w:cs="仿宋"/>
          <w:snapToGrid w:val="0"/>
          <w:spacing w:val="2"/>
          <w:kern w:val="0"/>
          <w:sz w:val="32"/>
          <w:szCs w:val="32"/>
        </w:rPr>
        <w:t>品行端正，热心公益，</w:t>
      </w:r>
      <w:r>
        <w:rPr>
          <w:rFonts w:hint="eastAsia" w:ascii="仿宋_GB2312" w:hAnsi="仿宋" w:eastAsia="仿宋_GB2312" w:cs="仿宋"/>
          <w:snapToGrid w:val="0"/>
          <w:spacing w:val="2"/>
          <w:kern w:val="0"/>
          <w:sz w:val="32"/>
          <w:szCs w:val="32"/>
          <w:lang w:val="zh-CN"/>
        </w:rPr>
        <w:t>具有良好的职业道德和职业操守；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lang w:val="zh-CN"/>
        </w:rPr>
      </w:pPr>
      <w:r>
        <w:rPr>
          <w:rFonts w:hint="eastAsia" w:ascii="仿宋_GB2312" w:hAnsi="仿宋" w:eastAsia="仿宋_GB2312" w:cs="仿宋"/>
          <w:snapToGrid w:val="0"/>
          <w:spacing w:val="2"/>
          <w:kern w:val="0"/>
          <w:sz w:val="32"/>
          <w:szCs w:val="32"/>
          <w:lang w:val="zh-CN"/>
        </w:rPr>
        <w:t xml:space="preserve">    （三）具有高等院校全日制本科或以上学历，符合兼职技术调查工作所需的理工科专业背景；</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lang w:val="zh-CN"/>
        </w:rPr>
      </w:pPr>
      <w:r>
        <w:rPr>
          <w:rFonts w:hint="eastAsia" w:ascii="仿宋_GB2312" w:hAnsi="仿宋" w:eastAsia="仿宋_GB2312" w:cs="仿宋"/>
          <w:snapToGrid w:val="0"/>
          <w:spacing w:val="2"/>
          <w:kern w:val="0"/>
          <w:sz w:val="32"/>
          <w:szCs w:val="32"/>
          <w:lang w:val="zh-CN"/>
        </w:rPr>
        <w:t xml:space="preserve">    （四）具有良好的文字</w:t>
      </w:r>
      <w:r>
        <w:rPr>
          <w:rFonts w:hint="eastAsia" w:ascii="仿宋_GB2312" w:hAnsi="仿宋" w:eastAsia="仿宋_GB2312" w:cs="仿宋"/>
          <w:snapToGrid w:val="0"/>
          <w:spacing w:val="2"/>
          <w:kern w:val="0"/>
          <w:sz w:val="32"/>
          <w:szCs w:val="32"/>
        </w:rPr>
        <w:t>撰写能力、语言表达能力和交流沟通能力；</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lang w:val="zh-CN"/>
        </w:rPr>
      </w:pPr>
      <w:r>
        <w:rPr>
          <w:rFonts w:hint="eastAsia" w:ascii="仿宋_GB2312" w:hAnsi="仿宋" w:eastAsia="仿宋_GB2312" w:cs="仿宋"/>
          <w:snapToGrid w:val="0"/>
          <w:spacing w:val="2"/>
          <w:kern w:val="0"/>
          <w:sz w:val="32"/>
          <w:szCs w:val="32"/>
          <w:lang w:val="zh-CN"/>
        </w:rPr>
        <w:t xml:space="preserve">    （五）</w:t>
      </w:r>
      <w:r>
        <w:rPr>
          <w:rFonts w:hint="eastAsia" w:ascii="仿宋_GB2312" w:hAnsi="仿宋" w:eastAsia="仿宋_GB2312" w:cs="仿宋"/>
          <w:snapToGrid w:val="0"/>
          <w:spacing w:val="2"/>
          <w:kern w:val="0"/>
          <w:sz w:val="32"/>
          <w:szCs w:val="32"/>
        </w:rPr>
        <w:t>身体健康，</w:t>
      </w:r>
      <w:r>
        <w:rPr>
          <w:rFonts w:hint="eastAsia" w:ascii="仿宋_GB2312" w:hAnsi="仿宋" w:eastAsia="仿宋_GB2312"/>
          <w:snapToGrid w:val="0"/>
          <w:spacing w:val="2"/>
          <w:kern w:val="0"/>
          <w:sz w:val="32"/>
          <w:szCs w:val="32"/>
        </w:rPr>
        <w:t>年龄不超过五十五周岁</w:t>
      </w:r>
      <w:r>
        <w:rPr>
          <w:rFonts w:hint="eastAsia" w:ascii="仿宋_GB2312" w:hAnsi="仿宋" w:eastAsia="仿宋_GB2312" w:cs="仿宋"/>
          <w:snapToGrid w:val="0"/>
          <w:spacing w:val="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972" w:hanging="972" w:hangingChars="300"/>
        <w:textAlignment w:val="auto"/>
        <w:rPr>
          <w:rFonts w:hint="eastAsia" w:ascii="仿宋_GB2312" w:hAnsi="仿宋" w:eastAsia="仿宋_GB2312"/>
          <w:snapToGrid w:val="0"/>
          <w:spacing w:val="2"/>
          <w:kern w:val="0"/>
          <w:sz w:val="32"/>
          <w:szCs w:val="32"/>
          <w:lang w:eastAsia="zh-CN"/>
        </w:rPr>
      </w:pPr>
      <w:r>
        <w:rPr>
          <w:rFonts w:hint="eastAsia" w:ascii="仿宋_GB2312" w:hAnsi="仿宋" w:eastAsia="仿宋_GB2312" w:cs="仿宋"/>
          <w:snapToGrid w:val="0"/>
          <w:spacing w:val="2"/>
          <w:kern w:val="0"/>
          <w:sz w:val="32"/>
          <w:szCs w:val="32"/>
          <w:lang w:val="zh-CN"/>
        </w:rPr>
        <w:t xml:space="preserve">    （六）不存在</w:t>
      </w:r>
      <w:r>
        <w:rPr>
          <w:rFonts w:hint="eastAsia" w:ascii="仿宋_GB2312" w:hAnsi="仿宋" w:eastAsia="仿宋_GB2312"/>
          <w:snapToGrid w:val="0"/>
          <w:spacing w:val="2"/>
          <w:kern w:val="0"/>
          <w:sz w:val="32"/>
          <w:szCs w:val="32"/>
        </w:rPr>
        <w:t>《公务员法》以及人民法院规定回避的情形</w:t>
      </w:r>
      <w:r>
        <w:rPr>
          <w:rFonts w:hint="eastAsia" w:ascii="仿宋_GB2312" w:hAnsi="仿宋" w:eastAsia="仿宋_GB2312"/>
          <w:snapToGrid w:val="0"/>
          <w:spacing w:val="2"/>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974" w:leftChars="309" w:hanging="325" w:hangingChars="100"/>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b/>
          <w:snapToGrid w:val="0"/>
          <w:spacing w:val="2"/>
          <w:kern w:val="0"/>
          <w:sz w:val="32"/>
          <w:szCs w:val="32"/>
        </w:rPr>
        <w:t>第五条</w:t>
      </w:r>
      <w:r>
        <w:rPr>
          <w:rFonts w:hint="eastAsia" w:ascii="仿宋_GB2312" w:hAnsi="仿宋" w:eastAsia="仿宋_GB2312" w:cs="仿宋"/>
          <w:snapToGrid w:val="0"/>
          <w:spacing w:val="2"/>
          <w:kern w:val="0"/>
          <w:sz w:val="32"/>
          <w:szCs w:val="32"/>
        </w:rPr>
        <w:t xml:space="preserve">  专利代理师具有下列情形之一的，不予</w:t>
      </w:r>
      <w:r>
        <w:rPr>
          <w:rFonts w:hint="eastAsia" w:ascii="仿宋_GB2312" w:hAnsi="仿宋" w:eastAsia="仿宋_GB2312" w:cs="仿宋"/>
          <w:snapToGrid w:val="0"/>
          <w:spacing w:val="2"/>
          <w:sz w:val="32"/>
          <w:szCs w:val="32"/>
          <w:lang w:val="zh-CN"/>
        </w:rPr>
        <w:t>推荐：</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（一）曾因犯罪受过刑事处罚的；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（二）曾受党纪、政纪处分且仍在处分期间的；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（三）因涉嫌违法违纪问题正在接受审查的；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（四）曾被开除公职或者被辞退未满五年的；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楷体" w:eastAsia="仿宋_GB2312" w:cs="Times New Roman"/>
          <w:b/>
          <w:bCs/>
          <w:snapToGrid w:val="0"/>
          <w:spacing w:val="2"/>
          <w:kern w:val="0"/>
          <w:sz w:val="32"/>
          <w:szCs w:val="32"/>
        </w:rPr>
      </w:pPr>
      <w:r>
        <w:rPr>
          <w:rFonts w:hint="eastAsia" w:ascii="仿宋_GB2312" w:hAnsi="仿宋" w:eastAsia="仿宋_GB2312" w:cs="仿宋"/>
          <w:snapToGrid w:val="0"/>
          <w:spacing w:val="2"/>
          <w:kern w:val="0"/>
          <w:sz w:val="32"/>
          <w:szCs w:val="32"/>
        </w:rPr>
        <w:t xml:space="preserve">    （五）所在专利代理机构被国家知识产权局列入经营异常名录或者严重违法失信名单的；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Times New Roman"/>
          <w:snapToGrid w:val="0"/>
          <w:spacing w:val="2"/>
          <w:kern w:val="0"/>
          <w:sz w:val="32"/>
          <w:szCs w:val="32"/>
        </w:rPr>
      </w:pPr>
      <w:r>
        <w:rPr>
          <w:rFonts w:hint="eastAsia" w:ascii="仿宋_GB2312" w:hAnsi="仿宋" w:eastAsia="仿宋_GB2312" w:cs="仿宋"/>
          <w:snapToGrid w:val="0"/>
          <w:spacing w:val="2"/>
          <w:kern w:val="0"/>
          <w:sz w:val="32"/>
          <w:szCs w:val="32"/>
        </w:rPr>
        <w:t xml:space="preserve">    （六）本人及其所在专利代理机构最近五年受到协会惩戒的；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（七）具有律师执业证书的；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（八）其他不适合担任兼职技术调查官、技术调查官助理候选人的情形。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w:t>
      </w:r>
      <w:r>
        <w:rPr>
          <w:rFonts w:hint="eastAsia" w:ascii="仿宋_GB2312" w:hAnsi="仿宋" w:eastAsia="仿宋_GB2312" w:cs="仿宋"/>
          <w:b/>
          <w:snapToGrid w:val="0"/>
          <w:spacing w:val="2"/>
          <w:kern w:val="0"/>
          <w:sz w:val="32"/>
          <w:szCs w:val="32"/>
        </w:rPr>
        <w:t>第六条</w:t>
      </w:r>
      <w:r>
        <w:rPr>
          <w:rFonts w:hint="eastAsia" w:ascii="仿宋_GB2312" w:hAnsi="仿宋" w:eastAsia="仿宋_GB2312" w:cs="仿宋"/>
          <w:snapToGrid w:val="0"/>
          <w:spacing w:val="2"/>
          <w:kern w:val="0"/>
          <w:sz w:val="32"/>
          <w:szCs w:val="32"/>
        </w:rPr>
        <w:t xml:space="preserve">  </w:t>
      </w:r>
      <w:r>
        <w:rPr>
          <w:rFonts w:hint="eastAsia" w:ascii="仿宋_GB2312" w:hAnsi="仿宋" w:eastAsia="仿宋_GB2312" w:cs="仿宋"/>
          <w:snapToGrid w:val="0"/>
          <w:spacing w:val="2"/>
          <w:sz w:val="32"/>
          <w:szCs w:val="32"/>
          <w:lang w:val="zh-CN"/>
        </w:rPr>
        <w:t>专利代理师</w:t>
      </w:r>
      <w:r>
        <w:rPr>
          <w:rFonts w:hint="eastAsia" w:ascii="仿宋_GB2312" w:hAnsi="仿宋" w:eastAsia="仿宋_GB2312" w:cs="仿宋"/>
          <w:snapToGrid w:val="0"/>
          <w:spacing w:val="2"/>
          <w:sz w:val="32"/>
          <w:szCs w:val="32"/>
        </w:rPr>
        <w:t>申报</w:t>
      </w:r>
      <w:r>
        <w:rPr>
          <w:rFonts w:hint="eastAsia" w:ascii="仿宋_GB2312" w:hAnsi="仿宋" w:eastAsia="仿宋_GB2312" w:cs="仿宋"/>
          <w:snapToGrid w:val="0"/>
          <w:spacing w:val="2"/>
          <w:sz w:val="32"/>
          <w:szCs w:val="32"/>
          <w:lang w:val="zh-CN"/>
        </w:rPr>
        <w:t>兼职技术调查官候选人，应当满足以下执业条件：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（一）专利代理师执业时间累计不少于五年，且最近一次年度考核为合格；</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（二）最近三年代理发明专利申请或者专利复审案件累计不少于十件；</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（三）最近三年作为专利代理师或者鉴定专家参与宣告专利权无效、专利行政调处或者专利诉讼案件累计不少于五件。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w:t>
      </w:r>
      <w:r>
        <w:rPr>
          <w:rFonts w:hint="eastAsia" w:ascii="仿宋_GB2312" w:hAnsi="仿宋" w:eastAsia="仿宋_GB2312" w:cs="仿宋"/>
          <w:b/>
          <w:snapToGrid w:val="0"/>
          <w:spacing w:val="2"/>
          <w:kern w:val="0"/>
          <w:sz w:val="32"/>
          <w:szCs w:val="32"/>
        </w:rPr>
        <w:t>第七条</w:t>
      </w:r>
      <w:r>
        <w:rPr>
          <w:rFonts w:hint="eastAsia" w:ascii="仿宋_GB2312" w:hAnsi="仿宋" w:eastAsia="仿宋_GB2312" w:cs="仿宋"/>
          <w:snapToGrid w:val="0"/>
          <w:spacing w:val="2"/>
          <w:kern w:val="0"/>
          <w:sz w:val="32"/>
          <w:szCs w:val="32"/>
        </w:rPr>
        <w:t xml:space="preserve">  </w:t>
      </w:r>
      <w:r>
        <w:rPr>
          <w:rFonts w:hint="eastAsia" w:ascii="仿宋_GB2312" w:hAnsi="仿宋" w:eastAsia="仿宋_GB2312" w:cs="仿宋"/>
          <w:snapToGrid w:val="0"/>
          <w:spacing w:val="2"/>
          <w:sz w:val="32"/>
          <w:szCs w:val="32"/>
          <w:lang w:val="zh-CN"/>
        </w:rPr>
        <w:t>专利代理师</w:t>
      </w:r>
      <w:r>
        <w:rPr>
          <w:rFonts w:hint="eastAsia" w:ascii="仿宋_GB2312" w:hAnsi="仿宋" w:eastAsia="仿宋_GB2312" w:cs="仿宋"/>
          <w:snapToGrid w:val="0"/>
          <w:spacing w:val="2"/>
          <w:sz w:val="32"/>
          <w:szCs w:val="32"/>
        </w:rPr>
        <w:t>申报</w:t>
      </w:r>
      <w:r>
        <w:rPr>
          <w:rFonts w:hint="eastAsia" w:ascii="仿宋_GB2312" w:hAnsi="仿宋" w:eastAsia="仿宋_GB2312" w:cs="仿宋"/>
          <w:snapToGrid w:val="0"/>
          <w:spacing w:val="2"/>
          <w:sz w:val="32"/>
          <w:szCs w:val="32"/>
          <w:lang w:val="zh-CN"/>
        </w:rPr>
        <w:t>兼职技术调查官助理候选人，应当满足以下执业条件：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（一）专利代理师执业时间累计不少于三年，且最近一次年度考核为合格；</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（二）最近三年代理发明专利申请或者专利复审案件累计不少于五件；</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（三</w:t>
      </w:r>
      <w:r>
        <w:rPr>
          <w:rFonts w:hint="eastAsia" w:ascii="仿宋_GB2312" w:hAnsi="仿宋" w:eastAsia="仿宋_GB2312" w:cs="仿宋"/>
          <w:snapToGrid w:val="0"/>
          <w:spacing w:val="2"/>
          <w:sz w:val="32"/>
          <w:szCs w:val="32"/>
          <w:lang w:val="zh-CN" w:eastAsia="zh-CN"/>
        </w:rPr>
        <w:t>）</w:t>
      </w:r>
      <w:r>
        <w:rPr>
          <w:rFonts w:hint="eastAsia" w:ascii="仿宋_GB2312" w:hAnsi="仿宋" w:eastAsia="仿宋_GB2312" w:cs="仿宋"/>
          <w:snapToGrid w:val="0"/>
          <w:spacing w:val="2"/>
          <w:sz w:val="32"/>
          <w:szCs w:val="32"/>
          <w:lang w:val="en-US" w:eastAsia="zh-CN"/>
        </w:rPr>
        <w:t xml:space="preserve"> </w:t>
      </w:r>
      <w:r>
        <w:rPr>
          <w:rFonts w:hint="eastAsia" w:ascii="仿宋_GB2312" w:hAnsi="仿宋" w:eastAsia="仿宋_GB2312" w:cs="仿宋"/>
          <w:snapToGrid w:val="0"/>
          <w:spacing w:val="2"/>
          <w:sz w:val="32"/>
          <w:szCs w:val="32"/>
          <w:lang w:val="zh-CN"/>
        </w:rPr>
        <w:t>最近三年作为代理人或者鉴定专家参与宣告专利权无效、专利行政调处或者专利诉讼案件累计不少于三件。</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color w:val="FF000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ascii="仿宋_GB2312" w:hAnsi="仿宋" w:eastAsia="仿宋_GB2312" w:cs="仿宋"/>
          <w:snapToGrid w:val="0"/>
          <w:color w:val="000000" w:themeColor="text1"/>
          <w:spacing w:val="2"/>
          <w:sz w:val="32"/>
          <w:szCs w:val="32"/>
          <w:lang w:val="zh-CN"/>
          <w14:textFill>
            <w14:solidFill>
              <w14:schemeClr w14:val="tx1"/>
            </w14:solidFill>
          </w14:textFill>
        </w:rPr>
        <w:t xml:space="preserve">  </w:t>
      </w:r>
      <w:r>
        <w:rPr>
          <w:rFonts w:hint="eastAsia" w:ascii="仿宋_GB2312" w:hAnsi="仿宋" w:eastAsia="仿宋_GB2312" w:cs="仿宋"/>
          <w:b/>
          <w:snapToGrid w:val="0"/>
          <w:color w:val="000000" w:themeColor="text1"/>
          <w:spacing w:val="2"/>
          <w:sz w:val="32"/>
          <w:szCs w:val="32"/>
          <w:lang w:val="zh-CN"/>
          <w14:textFill>
            <w14:solidFill>
              <w14:schemeClr w14:val="tx1"/>
            </w14:solidFill>
          </w14:textFill>
        </w:rPr>
        <w:t>第八条</w:t>
      </w:r>
      <w:r>
        <w:rPr>
          <w:rFonts w:ascii="仿宋_GB2312" w:hAnsi="仿宋" w:eastAsia="仿宋_GB2312" w:cs="仿宋"/>
          <w:snapToGrid w:val="0"/>
          <w:color w:val="000000" w:themeColor="text1"/>
          <w:spacing w:val="2"/>
          <w:sz w:val="32"/>
          <w:szCs w:val="32"/>
          <w:lang w:val="zh-CN"/>
          <w14:textFill>
            <w14:solidFill>
              <w14:schemeClr w14:val="tx1"/>
            </w14:solidFill>
          </w14:textFill>
        </w:rPr>
        <w:t xml:space="preserve">  </w:t>
      </w:r>
      <w:r>
        <w:rPr>
          <w:rFonts w:hint="eastAsia" w:ascii="仿宋_GB2312" w:hAnsi="仿宋" w:eastAsia="仿宋_GB2312" w:cs="仿宋"/>
          <w:snapToGrid w:val="0"/>
          <w:color w:val="000000" w:themeColor="text1"/>
          <w:spacing w:val="2"/>
          <w:sz w:val="32"/>
          <w:szCs w:val="32"/>
          <w:lang w:val="zh-CN"/>
          <w14:textFill>
            <w14:solidFill>
              <w14:schemeClr w14:val="tx1"/>
            </w14:solidFill>
          </w14:textFill>
        </w:rPr>
        <w:t>人民法院、国家知识产权局或者地方管理专利工作的部门对</w:t>
      </w:r>
      <w:r>
        <w:rPr>
          <w:rFonts w:hint="eastAsia" w:ascii="仿宋_GB2312" w:hAnsi="仿宋" w:eastAsia="仿宋_GB2312" w:cs="仿宋"/>
          <w:snapToGrid w:val="0"/>
          <w:color w:val="000000" w:themeColor="text1"/>
          <w:spacing w:val="2"/>
          <w:sz w:val="32"/>
          <w:szCs w:val="32"/>
          <w14:textFill>
            <w14:solidFill>
              <w14:schemeClr w14:val="tx1"/>
            </w14:solidFill>
          </w14:textFill>
        </w:rPr>
        <w:t>兼职技术</w:t>
      </w:r>
      <w:r>
        <w:rPr>
          <w:rFonts w:hint="eastAsia" w:ascii="仿宋_GB2312" w:hAnsi="仿宋" w:eastAsia="仿宋_GB2312" w:cs="仿宋"/>
          <w:snapToGrid w:val="0"/>
          <w:color w:val="000000" w:themeColor="text1"/>
          <w:spacing w:val="2"/>
          <w:sz w:val="32"/>
          <w:szCs w:val="32"/>
          <w:lang w:val="zh-CN"/>
          <w14:textFill>
            <w14:solidFill>
              <w14:schemeClr w14:val="tx1"/>
            </w14:solidFill>
          </w14:textFill>
        </w:rPr>
        <w:t>调查官、技术</w:t>
      </w:r>
      <w:r>
        <w:rPr>
          <w:rFonts w:hint="eastAsia" w:ascii="仿宋_GB2312" w:hAnsi="仿宋" w:eastAsia="仿宋_GB2312" w:cs="仿宋"/>
          <w:snapToGrid w:val="0"/>
          <w:color w:val="000000" w:themeColor="text1"/>
          <w:spacing w:val="2"/>
          <w:sz w:val="32"/>
          <w:szCs w:val="32"/>
          <w14:textFill>
            <w14:solidFill>
              <w14:schemeClr w14:val="tx1"/>
            </w14:solidFill>
          </w14:textFill>
        </w:rPr>
        <w:t>调查官助理人选有特别要求的，协会可以制订专门的推荐标准。</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cs="仿宋"/>
          <w:snapToGrid w:val="0"/>
          <w:spacing w:val="2"/>
          <w:sz w:val="32"/>
          <w:szCs w:val="32"/>
          <w:lang w:val="zh-CN"/>
        </w:rPr>
      </w:pPr>
      <w:r>
        <w:rPr>
          <w:rFonts w:hint="eastAsia" w:ascii="黑体" w:hAnsi="黑体" w:eastAsia="黑体" w:cs="仿宋"/>
          <w:snapToGrid w:val="0"/>
          <w:spacing w:val="2"/>
          <w:sz w:val="32"/>
          <w:szCs w:val="32"/>
          <w:lang w:val="zh-CN"/>
        </w:rPr>
        <w:t>第三章  资格审查与推荐</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第九条</w:t>
      </w:r>
      <w:r>
        <w:rPr>
          <w:rFonts w:hint="eastAsia" w:ascii="仿宋_GB2312" w:hAnsi="仿宋" w:eastAsia="仿宋_GB2312" w:cs="仿宋"/>
          <w:snapToGrid w:val="0"/>
          <w:spacing w:val="2"/>
          <w:sz w:val="32"/>
          <w:szCs w:val="32"/>
          <w:lang w:val="zh-CN"/>
        </w:rPr>
        <w:t xml:space="preserve">  秘书处根据人民法院、国家知识产权局和地方管理专利工作的部门有关技术调查工作的实际需求，制订</w:t>
      </w:r>
      <w:r>
        <w:rPr>
          <w:rFonts w:hint="eastAsia" w:ascii="仿宋_GB2312" w:hAnsi="仿宋" w:eastAsia="仿宋_GB2312" w:cs="仿宋"/>
          <w:snapToGrid w:val="0"/>
          <w:spacing w:val="2"/>
          <w:sz w:val="32"/>
          <w:szCs w:val="32"/>
        </w:rPr>
        <w:t>兼职技术调查官、技术调查官助理候选人</w:t>
      </w:r>
      <w:r>
        <w:rPr>
          <w:rFonts w:hint="eastAsia" w:ascii="仿宋_GB2312" w:hAnsi="仿宋" w:eastAsia="仿宋_GB2312" w:cs="仿宋"/>
          <w:snapToGrid w:val="0"/>
          <w:spacing w:val="2"/>
          <w:sz w:val="32"/>
          <w:szCs w:val="32"/>
          <w:lang w:val="zh-CN"/>
        </w:rPr>
        <w:t>推荐计划、发布通知、受理申报。</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b/>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第十条</w:t>
      </w:r>
      <w:r>
        <w:rPr>
          <w:rFonts w:hint="eastAsia" w:ascii="仿宋_GB2312" w:hAnsi="仿宋" w:eastAsia="仿宋_GB2312" w:cs="仿宋"/>
          <w:snapToGrid w:val="0"/>
          <w:spacing w:val="2"/>
          <w:sz w:val="32"/>
          <w:szCs w:val="32"/>
          <w:lang w:val="zh-CN"/>
        </w:rPr>
        <w:t xml:space="preserve">  专利代理师申报</w:t>
      </w:r>
      <w:r>
        <w:rPr>
          <w:rFonts w:hint="eastAsia" w:ascii="仿宋_GB2312" w:hAnsi="仿宋" w:eastAsia="仿宋_GB2312" w:cs="仿宋"/>
          <w:snapToGrid w:val="0"/>
          <w:spacing w:val="2"/>
          <w:sz w:val="32"/>
          <w:szCs w:val="32"/>
        </w:rPr>
        <w:t>兼职技术调查官、技术调查官助理候选人，应当由其所在专利代理机构在规定期限内向秘书处提出申请并报送相关材料。</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每家专利代理机构每次只能申报一名专利代理师。</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第十一条</w:t>
      </w:r>
      <w:r>
        <w:rPr>
          <w:rFonts w:hint="eastAsia" w:ascii="仿宋_GB2312" w:hAnsi="仿宋" w:eastAsia="仿宋_GB2312" w:cs="仿宋"/>
          <w:snapToGrid w:val="0"/>
          <w:spacing w:val="2"/>
          <w:sz w:val="32"/>
          <w:szCs w:val="32"/>
          <w:lang w:val="zh-CN"/>
        </w:rPr>
        <w:t xml:space="preserve">  秘书处根据本办法的规定，对申报材料进行初审，并形成初审报告。</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第十二条</w:t>
      </w:r>
      <w:r>
        <w:rPr>
          <w:rFonts w:hint="eastAsia" w:ascii="仿宋_GB2312" w:hAnsi="仿宋" w:eastAsia="仿宋_GB2312" w:cs="仿宋"/>
          <w:snapToGrid w:val="0"/>
          <w:spacing w:val="2"/>
          <w:sz w:val="32"/>
          <w:szCs w:val="32"/>
          <w:lang w:val="zh-CN"/>
        </w:rPr>
        <w:t xml:space="preserve">  协会诉讼代理管理工作委员会根据秘书处的初审报告，按照人民法院、国家知识产权局或者地方管理专利工作的部门委托协会推荐选聘</w:t>
      </w:r>
      <w:r>
        <w:rPr>
          <w:rFonts w:hint="eastAsia" w:ascii="仿宋_GB2312" w:hAnsi="仿宋" w:eastAsia="仿宋_GB2312" w:cs="仿宋"/>
          <w:snapToGrid w:val="0"/>
          <w:spacing w:val="2"/>
          <w:sz w:val="32"/>
          <w:szCs w:val="32"/>
        </w:rPr>
        <w:t>兼职技术调查官、技术调查官助理名额200%的比例，综合考虑专利代理师的执业经历和专业背景等因素，最终评审产生候选人推荐名单。</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第十三条</w:t>
      </w:r>
      <w:r>
        <w:rPr>
          <w:rFonts w:hint="eastAsia" w:ascii="仿宋_GB2312" w:hAnsi="仿宋" w:eastAsia="仿宋_GB2312" w:cs="仿宋"/>
          <w:snapToGrid w:val="0"/>
          <w:spacing w:val="2"/>
          <w:sz w:val="32"/>
          <w:szCs w:val="32"/>
          <w:lang w:val="zh-CN"/>
        </w:rPr>
        <w:t xml:space="preserve">  秘书处将</w:t>
      </w:r>
      <w:r>
        <w:rPr>
          <w:rFonts w:hint="eastAsia" w:ascii="仿宋_GB2312" w:hAnsi="仿宋" w:eastAsia="仿宋_GB2312" w:cs="仿宋"/>
          <w:snapToGrid w:val="0"/>
          <w:spacing w:val="2"/>
          <w:sz w:val="32"/>
          <w:szCs w:val="32"/>
        </w:rPr>
        <w:t>兼职技术调查官、技术调查官助理候选人推荐名单报送</w:t>
      </w:r>
      <w:r>
        <w:rPr>
          <w:rFonts w:hint="eastAsia" w:ascii="仿宋_GB2312" w:hAnsi="仿宋" w:eastAsia="仿宋_GB2312" w:cs="仿宋"/>
          <w:snapToGrid w:val="0"/>
          <w:spacing w:val="2"/>
          <w:sz w:val="32"/>
          <w:szCs w:val="32"/>
          <w:lang w:val="zh-CN"/>
        </w:rPr>
        <w:t>人民法院、国家知识产权局或者地方管理专利工作的部门，由其从中确定</w:t>
      </w:r>
      <w:r>
        <w:rPr>
          <w:rFonts w:hint="eastAsia" w:ascii="仿宋_GB2312" w:hAnsi="仿宋" w:eastAsia="仿宋_GB2312" w:cs="仿宋"/>
          <w:snapToGrid w:val="0"/>
          <w:spacing w:val="2"/>
          <w:sz w:val="32"/>
          <w:szCs w:val="32"/>
        </w:rPr>
        <w:t>聘任人选。</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第十四条</w:t>
      </w:r>
      <w:r>
        <w:rPr>
          <w:rFonts w:hint="eastAsia" w:ascii="仿宋_GB2312" w:hAnsi="仿宋" w:eastAsia="仿宋_GB2312" w:cs="仿宋"/>
          <w:snapToGrid w:val="0"/>
          <w:spacing w:val="2"/>
          <w:sz w:val="32"/>
          <w:szCs w:val="32"/>
          <w:lang w:val="zh-CN"/>
        </w:rPr>
        <w:t xml:space="preserve">  专利代理师担任</w:t>
      </w:r>
      <w:r>
        <w:rPr>
          <w:rFonts w:hint="eastAsia" w:ascii="仿宋_GB2312" w:hAnsi="仿宋" w:eastAsia="仿宋_GB2312" w:cs="仿宋"/>
          <w:snapToGrid w:val="0"/>
          <w:spacing w:val="2"/>
          <w:sz w:val="32"/>
          <w:szCs w:val="32"/>
        </w:rPr>
        <w:t>兼职技术调查官、技术调查官助理，应当遵守聘任单位的各项规章制度、工作纪律和工作要求，服从聘任单位的管理，恪尽职守，按时完成相关技术调查工作任务。</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专利代理师担任</w:t>
      </w:r>
      <w:r>
        <w:rPr>
          <w:rFonts w:hint="eastAsia" w:ascii="仿宋_GB2312" w:hAnsi="仿宋" w:eastAsia="仿宋_GB2312" w:cs="仿宋"/>
          <w:snapToGrid w:val="0"/>
          <w:spacing w:val="2"/>
          <w:sz w:val="32"/>
          <w:szCs w:val="32"/>
        </w:rPr>
        <w:t>兼职技术调查官、技术调查官助理的任期，由聘任单位决定。</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cs="仿宋"/>
          <w:snapToGrid w:val="0"/>
          <w:spacing w:val="2"/>
          <w:sz w:val="32"/>
          <w:szCs w:val="32"/>
          <w:lang w:val="zh-CN"/>
        </w:rPr>
      </w:pPr>
      <w:r>
        <w:rPr>
          <w:rFonts w:hint="eastAsia" w:ascii="黑体" w:hAnsi="黑体" w:eastAsia="黑体" w:cs="仿宋"/>
          <w:snapToGrid w:val="0"/>
          <w:spacing w:val="2"/>
          <w:sz w:val="32"/>
          <w:szCs w:val="32"/>
          <w:lang w:val="zh-CN"/>
        </w:rPr>
        <w:t>第四章  监督管理</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第十五条</w:t>
      </w:r>
      <w:r>
        <w:rPr>
          <w:rFonts w:hint="eastAsia" w:ascii="仿宋_GB2312" w:hAnsi="仿宋" w:eastAsia="仿宋_GB2312" w:cs="仿宋"/>
          <w:snapToGrid w:val="0"/>
          <w:spacing w:val="2"/>
          <w:sz w:val="32"/>
          <w:szCs w:val="32"/>
          <w:lang w:val="zh-CN"/>
        </w:rPr>
        <w:t xml:space="preserve">  专利代理师及其所在专利代理机构应当对申报材料的真实性负责。如</w:t>
      </w:r>
      <w:r>
        <w:rPr>
          <w:rFonts w:ascii="仿宋_GB2312" w:hAnsi="仿宋" w:eastAsia="仿宋_GB2312" w:cs="仿宋"/>
          <w:snapToGrid w:val="0"/>
          <w:spacing w:val="2"/>
          <w:sz w:val="32"/>
          <w:szCs w:val="32"/>
          <w:lang w:val="zh-CN"/>
        </w:rPr>
        <w:t>发现</w:t>
      </w:r>
      <w:r>
        <w:rPr>
          <w:rFonts w:hint="eastAsia" w:ascii="仿宋_GB2312" w:hAnsi="仿宋" w:eastAsia="仿宋_GB2312" w:cs="仿宋"/>
          <w:snapToGrid w:val="0"/>
          <w:spacing w:val="2"/>
          <w:sz w:val="32"/>
          <w:szCs w:val="32"/>
          <w:lang w:val="zh-CN"/>
        </w:rPr>
        <w:t>故意弄虚作假的，将取消推荐资格。情节严重的，将被给予惩戒。</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第十六条</w:t>
      </w:r>
      <w:r>
        <w:rPr>
          <w:rFonts w:hint="eastAsia" w:ascii="仿宋_GB2312" w:hAnsi="仿宋" w:eastAsia="仿宋_GB2312" w:cs="仿宋"/>
          <w:snapToGrid w:val="0"/>
          <w:spacing w:val="2"/>
          <w:sz w:val="32"/>
          <w:szCs w:val="32"/>
          <w:lang w:val="zh-CN"/>
        </w:rPr>
        <w:t xml:space="preserve">  专利代理师在担任</w:t>
      </w:r>
      <w:r>
        <w:rPr>
          <w:rFonts w:hint="eastAsia" w:ascii="仿宋_GB2312" w:hAnsi="仿宋" w:eastAsia="仿宋_GB2312" w:cs="仿宋"/>
          <w:snapToGrid w:val="0"/>
          <w:spacing w:val="2"/>
          <w:sz w:val="32"/>
          <w:szCs w:val="32"/>
        </w:rPr>
        <w:t>兼职技术调查官、技术调查官助理期间，如</w:t>
      </w:r>
      <w:r>
        <w:rPr>
          <w:rFonts w:ascii="仿宋_GB2312" w:hAnsi="仿宋" w:eastAsia="仿宋_GB2312" w:cs="仿宋"/>
          <w:snapToGrid w:val="0"/>
          <w:spacing w:val="2"/>
          <w:sz w:val="32"/>
          <w:szCs w:val="32"/>
        </w:rPr>
        <w:t>发生情况变化，</w:t>
      </w:r>
      <w:r>
        <w:rPr>
          <w:rFonts w:hint="eastAsia" w:ascii="仿宋_GB2312" w:hAnsi="仿宋" w:eastAsia="仿宋_GB2312" w:cs="仿宋"/>
          <w:snapToGrid w:val="0"/>
          <w:spacing w:val="2"/>
          <w:sz w:val="32"/>
          <w:szCs w:val="32"/>
        </w:rPr>
        <w:t>经确认不再符合本办法规定条件的，秘书处应当及时通知聘任单位。</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60"/>
        <w:jc w:val="both"/>
        <w:textAlignment w:val="auto"/>
        <w:rPr>
          <w:rFonts w:ascii="仿宋_GB2312" w:hAnsi="仿宋" w:eastAsia="仿宋_GB2312" w:cs="仿宋"/>
          <w:snapToGrid w:val="0"/>
          <w:spacing w:val="2"/>
          <w:sz w:val="32"/>
          <w:szCs w:val="32"/>
          <w:lang w:val="en-US"/>
        </w:rPr>
      </w:pPr>
      <w:r>
        <w:rPr>
          <w:rFonts w:hint="eastAsia" w:ascii="仿宋_GB2312" w:hAnsi="仿宋" w:eastAsia="仿宋_GB2312" w:cs="仿宋"/>
          <w:b/>
          <w:snapToGrid w:val="0"/>
          <w:spacing w:val="2"/>
          <w:sz w:val="32"/>
          <w:szCs w:val="32"/>
          <w:lang w:val="zh-CN"/>
        </w:rPr>
        <w:t>第十七条</w:t>
      </w:r>
      <w:r>
        <w:rPr>
          <w:rFonts w:hint="eastAsia" w:ascii="仿宋_GB2312" w:hAnsi="仿宋" w:eastAsia="仿宋_GB2312" w:cs="仿宋"/>
          <w:snapToGrid w:val="0"/>
          <w:spacing w:val="2"/>
          <w:sz w:val="32"/>
          <w:szCs w:val="32"/>
          <w:lang w:val="zh-CN"/>
        </w:rPr>
        <w:t xml:space="preserve">  专利代理师在担任</w:t>
      </w:r>
      <w:r>
        <w:rPr>
          <w:rFonts w:hint="eastAsia" w:ascii="仿宋_GB2312" w:hAnsi="仿宋" w:eastAsia="仿宋_GB2312" w:cs="仿宋"/>
          <w:snapToGrid w:val="0"/>
          <w:spacing w:val="2"/>
          <w:sz w:val="32"/>
          <w:szCs w:val="32"/>
        </w:rPr>
        <w:t>兼职技术调查官、技术调查官助理期间，如所在专利代理机构不同意其继续从事相关技术调查工作的，可以申请取消推荐。经确认应取消推荐资格的，秘书处应当及时通知聘任单位。</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486" w:firstLineChars="150"/>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第十八条</w:t>
      </w:r>
      <w:r>
        <w:rPr>
          <w:rFonts w:hint="eastAsia" w:ascii="仿宋_GB2312" w:hAnsi="仿宋" w:eastAsia="仿宋_GB2312" w:cs="仿宋"/>
          <w:snapToGrid w:val="0"/>
          <w:spacing w:val="2"/>
          <w:sz w:val="32"/>
          <w:szCs w:val="32"/>
          <w:lang w:val="zh-CN"/>
        </w:rPr>
        <w:t xml:space="preserve">  专利代理师在担任</w:t>
      </w:r>
      <w:r>
        <w:rPr>
          <w:rFonts w:hint="eastAsia" w:ascii="仿宋_GB2312" w:hAnsi="仿宋" w:eastAsia="仿宋_GB2312" w:cs="仿宋"/>
          <w:snapToGrid w:val="0"/>
          <w:spacing w:val="2"/>
          <w:sz w:val="32"/>
          <w:szCs w:val="32"/>
        </w:rPr>
        <w:t>兼职技术调查官、技术调查官助理期间，</w:t>
      </w:r>
      <w:r>
        <w:rPr>
          <w:rFonts w:hint="eastAsia" w:ascii="仿宋_GB2312" w:hAnsi="仿宋" w:eastAsia="仿宋_GB2312" w:cs="仿宋"/>
          <w:snapToGrid w:val="0"/>
          <w:color w:val="000000" w:themeColor="text1"/>
          <w:spacing w:val="2"/>
          <w:sz w:val="32"/>
          <w:szCs w:val="32"/>
          <w14:textFill>
            <w14:solidFill>
              <w14:schemeClr w14:val="tx1"/>
            </w14:solidFill>
          </w14:textFill>
        </w:rPr>
        <w:t>如</w:t>
      </w:r>
      <w:r>
        <w:rPr>
          <w:rFonts w:hint="eastAsia" w:ascii="仿宋_GB2312" w:hAnsi="仿宋" w:eastAsia="仿宋_GB2312" w:cs="仿宋"/>
          <w:snapToGrid w:val="0"/>
          <w:color w:val="000000" w:themeColor="text1"/>
          <w:spacing w:val="2"/>
          <w:sz w:val="32"/>
          <w:szCs w:val="32"/>
          <w:lang w:val="zh-CN"/>
          <w14:textFill>
            <w14:solidFill>
              <w14:schemeClr w14:val="tx1"/>
            </w14:solidFill>
          </w14:textFill>
        </w:rPr>
        <w:t>违反法律法规或者聘任单位有关规章制度，聘任单位认为其不适合继续</w:t>
      </w:r>
      <w:r>
        <w:rPr>
          <w:rFonts w:hint="eastAsia" w:ascii="仿宋_GB2312" w:hAnsi="仿宋" w:eastAsia="仿宋_GB2312" w:cs="仿宋"/>
          <w:snapToGrid w:val="0"/>
          <w:color w:val="000000" w:themeColor="text1"/>
          <w:spacing w:val="2"/>
          <w:sz w:val="32"/>
          <w:szCs w:val="32"/>
          <w14:textFill>
            <w14:solidFill>
              <w14:schemeClr w14:val="tx1"/>
            </w14:solidFill>
          </w14:textFill>
        </w:rPr>
        <w:t>从事相关技术调查工作的，</w:t>
      </w:r>
      <w:r>
        <w:rPr>
          <w:rFonts w:hint="eastAsia" w:ascii="仿宋_GB2312" w:hAnsi="仿宋" w:eastAsia="仿宋_GB2312" w:cs="仿宋"/>
          <w:snapToGrid w:val="0"/>
          <w:spacing w:val="2"/>
          <w:sz w:val="32"/>
          <w:szCs w:val="32"/>
        </w:rPr>
        <w:t>将被取消推荐资格。</w:t>
      </w:r>
      <w:r>
        <w:rPr>
          <w:rFonts w:hint="eastAsia" w:ascii="仿宋_GB2312" w:hAnsi="仿宋" w:eastAsia="仿宋_GB2312" w:cs="仿宋"/>
          <w:snapToGrid w:val="0"/>
          <w:spacing w:val="2"/>
          <w:sz w:val="32"/>
          <w:szCs w:val="32"/>
          <w:lang w:val="zh-CN"/>
        </w:rPr>
        <w:t>情节严重的，将</w:t>
      </w:r>
      <w:r>
        <w:rPr>
          <w:rFonts w:ascii="仿宋_GB2312" w:hAnsi="仿宋" w:eastAsia="仿宋_GB2312" w:cs="仿宋"/>
          <w:snapToGrid w:val="0"/>
          <w:spacing w:val="2"/>
          <w:sz w:val="32"/>
          <w:szCs w:val="32"/>
          <w:lang w:val="zh-CN"/>
        </w:rPr>
        <w:t>被</w:t>
      </w:r>
      <w:r>
        <w:rPr>
          <w:rFonts w:hint="eastAsia" w:ascii="仿宋_GB2312" w:hAnsi="仿宋" w:eastAsia="仿宋_GB2312" w:cs="仿宋"/>
          <w:snapToGrid w:val="0"/>
          <w:spacing w:val="2"/>
          <w:sz w:val="32"/>
          <w:szCs w:val="32"/>
          <w:lang w:val="zh-CN"/>
        </w:rPr>
        <w:t>给予惩戒。</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第十九条</w:t>
      </w:r>
      <w:r>
        <w:rPr>
          <w:rFonts w:hint="eastAsia" w:ascii="仿宋_GB2312" w:hAnsi="仿宋" w:eastAsia="仿宋_GB2312" w:cs="仿宋"/>
          <w:snapToGrid w:val="0"/>
          <w:spacing w:val="2"/>
          <w:sz w:val="32"/>
          <w:szCs w:val="32"/>
          <w:lang w:val="zh-CN"/>
        </w:rPr>
        <w:t xml:space="preserve">  秘书处工作人员在参与兼职技术调查官、技术调查官助理候选人的推荐管理工作中，应当遵循公平、公正原则，认真履职，保守工作秘密。</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秘书处工作人员如违反本办法有关规定造成严重后果的，将</w:t>
      </w:r>
      <w:r>
        <w:rPr>
          <w:rFonts w:ascii="仿宋_GB2312" w:hAnsi="仿宋" w:eastAsia="仿宋_GB2312" w:cs="仿宋"/>
          <w:snapToGrid w:val="0"/>
          <w:spacing w:val="2"/>
          <w:sz w:val="32"/>
          <w:szCs w:val="32"/>
          <w:lang w:val="zh-CN"/>
        </w:rPr>
        <w:t>被</w:t>
      </w:r>
      <w:r>
        <w:rPr>
          <w:rFonts w:hint="eastAsia" w:ascii="仿宋_GB2312" w:hAnsi="仿宋" w:eastAsia="仿宋_GB2312" w:cs="仿宋"/>
          <w:snapToGrid w:val="0"/>
          <w:spacing w:val="2"/>
          <w:sz w:val="32"/>
          <w:szCs w:val="32"/>
          <w:lang w:val="zh-CN"/>
        </w:rPr>
        <w:t>给予相应处分。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snapToGrid w:val="0"/>
          <w:spacing w:val="2"/>
          <w:kern w:val="0"/>
          <w:sz w:val="32"/>
          <w:szCs w:val="32"/>
        </w:rPr>
      </w:pPr>
      <w:r>
        <w:rPr>
          <w:rFonts w:hint="eastAsia" w:ascii="黑体" w:hAnsi="黑体" w:eastAsia="黑体"/>
          <w:snapToGrid w:val="0"/>
          <w:spacing w:val="2"/>
          <w:kern w:val="0"/>
          <w:sz w:val="32"/>
          <w:szCs w:val="32"/>
        </w:rPr>
        <w:t>第五章  附则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r>
        <w:rPr>
          <w:rFonts w:hint="eastAsia" w:ascii="仿宋_GB2312" w:eastAsia="仿宋_GB2312"/>
          <w:snapToGrid w:val="0"/>
          <w:spacing w:val="2"/>
          <w:kern w:val="0"/>
          <w:sz w:val="32"/>
          <w:szCs w:val="32"/>
        </w:rPr>
        <w:t xml:space="preserve">    </w:t>
      </w:r>
      <w:r>
        <w:rPr>
          <w:rFonts w:hint="eastAsia" w:ascii="仿宋_GB2312" w:eastAsia="仿宋_GB2312"/>
          <w:b/>
          <w:snapToGrid w:val="0"/>
          <w:spacing w:val="2"/>
          <w:kern w:val="0"/>
          <w:sz w:val="32"/>
          <w:szCs w:val="32"/>
        </w:rPr>
        <w:t>第二十条</w:t>
      </w:r>
      <w:r>
        <w:rPr>
          <w:rFonts w:hint="eastAsia" w:ascii="仿宋_GB2312" w:eastAsia="仿宋_GB2312"/>
          <w:snapToGrid w:val="0"/>
          <w:spacing w:val="2"/>
          <w:kern w:val="0"/>
          <w:sz w:val="32"/>
          <w:szCs w:val="32"/>
        </w:rPr>
        <w:t xml:space="preserve">  人民法院、国家知识产权局和地方管理专利工作的部门对兼职技术调查官、技术调查官助理的推荐和选任工作另有规定的，从其规定。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r>
        <w:rPr>
          <w:rFonts w:hint="eastAsia" w:ascii="仿宋_GB2312" w:eastAsia="仿宋_GB2312"/>
          <w:snapToGrid w:val="0"/>
          <w:spacing w:val="2"/>
          <w:kern w:val="0"/>
          <w:sz w:val="32"/>
          <w:szCs w:val="32"/>
        </w:rPr>
        <w:t xml:space="preserve">    </w:t>
      </w:r>
      <w:r>
        <w:rPr>
          <w:rFonts w:hint="eastAsia" w:ascii="仿宋_GB2312" w:eastAsia="仿宋_GB2312"/>
          <w:b/>
          <w:snapToGrid w:val="0"/>
          <w:spacing w:val="2"/>
          <w:kern w:val="0"/>
          <w:sz w:val="32"/>
          <w:szCs w:val="32"/>
        </w:rPr>
        <w:t>第二十一条</w:t>
      </w:r>
      <w:r>
        <w:rPr>
          <w:rFonts w:hint="eastAsia" w:ascii="仿宋_GB2312" w:eastAsia="仿宋_GB2312"/>
          <w:snapToGrid w:val="0"/>
          <w:spacing w:val="2"/>
          <w:kern w:val="0"/>
          <w:sz w:val="32"/>
          <w:szCs w:val="32"/>
        </w:rPr>
        <w:t xml:space="preserve">  本办法由协会常务理事会负责解释。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r>
        <w:rPr>
          <w:rFonts w:hint="eastAsia" w:ascii="仿宋_GB2312" w:eastAsia="仿宋_GB2312"/>
          <w:snapToGrid w:val="0"/>
          <w:spacing w:val="2"/>
          <w:kern w:val="0"/>
          <w:sz w:val="32"/>
          <w:szCs w:val="32"/>
        </w:rPr>
        <w:t xml:space="preserve">    </w:t>
      </w:r>
      <w:r>
        <w:rPr>
          <w:rFonts w:hint="eastAsia" w:ascii="仿宋_GB2312" w:eastAsia="仿宋_GB2312"/>
          <w:b/>
          <w:snapToGrid w:val="0"/>
          <w:spacing w:val="2"/>
          <w:kern w:val="0"/>
          <w:sz w:val="32"/>
          <w:szCs w:val="32"/>
        </w:rPr>
        <w:t>第二十二条</w:t>
      </w:r>
      <w:r>
        <w:rPr>
          <w:rFonts w:hint="eastAsia" w:ascii="仿宋_GB2312" w:eastAsia="仿宋_GB2312"/>
          <w:snapToGrid w:val="0"/>
          <w:spacing w:val="2"/>
          <w:kern w:val="0"/>
          <w:sz w:val="32"/>
          <w:szCs w:val="32"/>
        </w:rPr>
        <w:t xml:space="preserve">  本办法自发布之日起施行。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pBdr>
          <w:top w:val="single" w:color="auto" w:sz="6" w:space="1"/>
          <w:bottom w:val="single" w:color="auto" w:sz="6" w:space="1"/>
        </w:pBdr>
        <w:spacing w:line="560" w:lineRule="exact"/>
        <w:ind w:firstLine="320" w:firstLineChars="100"/>
        <w:rPr>
          <w:rFonts w:ascii="仿宋_GB2312" w:eastAsia="仿宋_GB2312"/>
          <w:snapToGrid w:val="0"/>
          <w:spacing w:val="2"/>
          <w:kern w:val="0"/>
          <w:sz w:val="32"/>
          <w:szCs w:val="32"/>
        </w:rPr>
      </w:pPr>
      <w:r>
        <w:rPr>
          <w:rFonts w:hint="eastAsia" w:ascii="仿宋_GB2312" w:eastAsia="仿宋_GB2312"/>
          <w:sz w:val="32"/>
          <w:szCs w:val="32"/>
        </w:rPr>
        <w:t>中华</w:t>
      </w:r>
      <w:r>
        <w:rPr>
          <w:rFonts w:ascii="仿宋_GB2312" w:eastAsia="仿宋_GB2312"/>
          <w:sz w:val="32"/>
          <w:szCs w:val="32"/>
        </w:rPr>
        <w:t>全国专利代理</w:t>
      </w:r>
      <w:r>
        <w:rPr>
          <w:rFonts w:hint="eastAsia" w:ascii="仿宋_GB2312" w:eastAsia="仿宋_GB2312"/>
          <w:sz w:val="32"/>
          <w:szCs w:val="32"/>
        </w:rPr>
        <w:t>师</w:t>
      </w:r>
      <w:r>
        <w:rPr>
          <w:rFonts w:ascii="仿宋_GB2312" w:eastAsia="仿宋_GB2312"/>
          <w:sz w:val="32"/>
          <w:szCs w:val="32"/>
        </w:rPr>
        <w:t>协会</w:t>
      </w:r>
      <w:r>
        <w:rPr>
          <w:rFonts w:hint="eastAsia" w:ascii="仿宋_GB2312" w:eastAsia="仿宋_GB2312"/>
          <w:sz w:val="32"/>
          <w:szCs w:val="32"/>
        </w:rPr>
        <w:t xml:space="preserve">秘书处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2023年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r>
        <w:rPr>
          <w:rFonts w:ascii="仿宋_GB2312" w:eastAsia="仿宋_GB2312"/>
          <w:sz w:val="32"/>
          <w:szCs w:val="32"/>
        </w:rPr>
        <w:t>印发</w:t>
      </w:r>
    </w:p>
    <w:sectPr>
      <w:footerReference r:id="rId3" w:type="default"/>
      <w:pgSz w:w="11906" w:h="16838"/>
      <w:pgMar w:top="1531" w:right="964" w:bottom="96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ZjY2QwNmQxMTkxZmM4MTRlNDU5MjRmN2E4MDJmMjAifQ=="/>
  </w:docVars>
  <w:rsids>
    <w:rsidRoot w:val="005B5D5C"/>
    <w:rsid w:val="00000C0D"/>
    <w:rsid w:val="00012BB8"/>
    <w:rsid w:val="000435C5"/>
    <w:rsid w:val="0005553A"/>
    <w:rsid w:val="0006598F"/>
    <w:rsid w:val="000906B5"/>
    <w:rsid w:val="00094194"/>
    <w:rsid w:val="000A57A6"/>
    <w:rsid w:val="000C4E2F"/>
    <w:rsid w:val="000F6226"/>
    <w:rsid w:val="00103341"/>
    <w:rsid w:val="00111F53"/>
    <w:rsid w:val="00137F4E"/>
    <w:rsid w:val="00157B62"/>
    <w:rsid w:val="0016163A"/>
    <w:rsid w:val="001B27E2"/>
    <w:rsid w:val="001B5308"/>
    <w:rsid w:val="001C2628"/>
    <w:rsid w:val="001D39B5"/>
    <w:rsid w:val="001E22ED"/>
    <w:rsid w:val="00207247"/>
    <w:rsid w:val="00207869"/>
    <w:rsid w:val="00216A04"/>
    <w:rsid w:val="00250A38"/>
    <w:rsid w:val="002764AE"/>
    <w:rsid w:val="00280FD9"/>
    <w:rsid w:val="002A33A6"/>
    <w:rsid w:val="002A7EC0"/>
    <w:rsid w:val="002E79C9"/>
    <w:rsid w:val="002F5C84"/>
    <w:rsid w:val="0031198E"/>
    <w:rsid w:val="003167A2"/>
    <w:rsid w:val="003470B4"/>
    <w:rsid w:val="00351058"/>
    <w:rsid w:val="0036751E"/>
    <w:rsid w:val="00380EA1"/>
    <w:rsid w:val="003B03B4"/>
    <w:rsid w:val="003B4323"/>
    <w:rsid w:val="003C4150"/>
    <w:rsid w:val="00415D0B"/>
    <w:rsid w:val="0043372B"/>
    <w:rsid w:val="00433996"/>
    <w:rsid w:val="00457C8E"/>
    <w:rsid w:val="004760C2"/>
    <w:rsid w:val="00477EFC"/>
    <w:rsid w:val="0049044C"/>
    <w:rsid w:val="004B3612"/>
    <w:rsid w:val="004D31D8"/>
    <w:rsid w:val="004F251B"/>
    <w:rsid w:val="00522840"/>
    <w:rsid w:val="00522B96"/>
    <w:rsid w:val="0057026A"/>
    <w:rsid w:val="005821C3"/>
    <w:rsid w:val="005B30C1"/>
    <w:rsid w:val="005B3A09"/>
    <w:rsid w:val="005B5939"/>
    <w:rsid w:val="005B5D5C"/>
    <w:rsid w:val="005E46CD"/>
    <w:rsid w:val="006344AA"/>
    <w:rsid w:val="00643D66"/>
    <w:rsid w:val="00647EBB"/>
    <w:rsid w:val="0065324C"/>
    <w:rsid w:val="0067400C"/>
    <w:rsid w:val="006765CA"/>
    <w:rsid w:val="00677611"/>
    <w:rsid w:val="006B4A56"/>
    <w:rsid w:val="006C75E5"/>
    <w:rsid w:val="006F64FB"/>
    <w:rsid w:val="00755AFC"/>
    <w:rsid w:val="00785407"/>
    <w:rsid w:val="00790A76"/>
    <w:rsid w:val="007A697E"/>
    <w:rsid w:val="007E2263"/>
    <w:rsid w:val="007E69E7"/>
    <w:rsid w:val="008074D1"/>
    <w:rsid w:val="00816E87"/>
    <w:rsid w:val="008409B2"/>
    <w:rsid w:val="00843921"/>
    <w:rsid w:val="008B2AC7"/>
    <w:rsid w:val="008D5128"/>
    <w:rsid w:val="008D5E1C"/>
    <w:rsid w:val="008E4790"/>
    <w:rsid w:val="008F5C9F"/>
    <w:rsid w:val="00915E6F"/>
    <w:rsid w:val="009207D6"/>
    <w:rsid w:val="009464D3"/>
    <w:rsid w:val="009468EC"/>
    <w:rsid w:val="00951631"/>
    <w:rsid w:val="0095546C"/>
    <w:rsid w:val="00967874"/>
    <w:rsid w:val="009D4A13"/>
    <w:rsid w:val="009E059C"/>
    <w:rsid w:val="009E6637"/>
    <w:rsid w:val="009F034E"/>
    <w:rsid w:val="00A1312F"/>
    <w:rsid w:val="00A37BC7"/>
    <w:rsid w:val="00A43725"/>
    <w:rsid w:val="00A507AB"/>
    <w:rsid w:val="00A50910"/>
    <w:rsid w:val="00A778E4"/>
    <w:rsid w:val="00B03BF6"/>
    <w:rsid w:val="00B06740"/>
    <w:rsid w:val="00B750FD"/>
    <w:rsid w:val="00B80C80"/>
    <w:rsid w:val="00B81685"/>
    <w:rsid w:val="00BA48D3"/>
    <w:rsid w:val="00BB2074"/>
    <w:rsid w:val="00BB7D6B"/>
    <w:rsid w:val="00BC42E4"/>
    <w:rsid w:val="00BE629A"/>
    <w:rsid w:val="00C20786"/>
    <w:rsid w:val="00C669A4"/>
    <w:rsid w:val="00CD57F0"/>
    <w:rsid w:val="00CE0DCA"/>
    <w:rsid w:val="00CF5455"/>
    <w:rsid w:val="00D616FC"/>
    <w:rsid w:val="00D73958"/>
    <w:rsid w:val="00E24A41"/>
    <w:rsid w:val="00E47D12"/>
    <w:rsid w:val="00EB2988"/>
    <w:rsid w:val="00F01956"/>
    <w:rsid w:val="00F01FAD"/>
    <w:rsid w:val="00F0769D"/>
    <w:rsid w:val="00F1016B"/>
    <w:rsid w:val="00F41A76"/>
    <w:rsid w:val="00F94F5D"/>
    <w:rsid w:val="00FC627B"/>
    <w:rsid w:val="00FF59BD"/>
    <w:rsid w:val="00FF7245"/>
    <w:rsid w:val="01227D1D"/>
    <w:rsid w:val="05F902CF"/>
    <w:rsid w:val="08520F12"/>
    <w:rsid w:val="0CCF117D"/>
    <w:rsid w:val="0DD66A9C"/>
    <w:rsid w:val="10657AE7"/>
    <w:rsid w:val="14C82BD8"/>
    <w:rsid w:val="19051B75"/>
    <w:rsid w:val="251B5B08"/>
    <w:rsid w:val="2E472237"/>
    <w:rsid w:val="30A90286"/>
    <w:rsid w:val="30F47416"/>
    <w:rsid w:val="34612E89"/>
    <w:rsid w:val="35004968"/>
    <w:rsid w:val="353D7D84"/>
    <w:rsid w:val="3D6F7785"/>
    <w:rsid w:val="47C35B1A"/>
    <w:rsid w:val="497F1FE8"/>
    <w:rsid w:val="4D0018C6"/>
    <w:rsid w:val="4E41068C"/>
    <w:rsid w:val="4EF23735"/>
    <w:rsid w:val="5060304C"/>
    <w:rsid w:val="50F87728"/>
    <w:rsid w:val="54937EE6"/>
    <w:rsid w:val="5D146445"/>
    <w:rsid w:val="60AE50B4"/>
    <w:rsid w:val="60FB7FA9"/>
    <w:rsid w:val="610572F8"/>
    <w:rsid w:val="63391FAB"/>
    <w:rsid w:val="643107F3"/>
    <w:rsid w:val="6C9A7CF7"/>
    <w:rsid w:val="6D342338"/>
    <w:rsid w:val="6E6F23AC"/>
    <w:rsid w:val="6E97444E"/>
    <w:rsid w:val="74935B9C"/>
    <w:rsid w:val="76482515"/>
    <w:rsid w:val="764D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qFormat/>
    <w:uiPriority w:val="0"/>
    <w:pPr>
      <w:jc w:val="left"/>
    </w:pPr>
    <w:rPr>
      <w:rFonts w:cs="Times New Roman"/>
      <w:kern w:val="0"/>
      <w:sz w:val="20"/>
    </w:r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7"/>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7">
    <w:name w:val="annotation subject"/>
    <w:basedOn w:val="2"/>
    <w:next w:val="2"/>
    <w:link w:val="15"/>
    <w:qFormat/>
    <w:uiPriority w:val="0"/>
    <w:rPr>
      <w:rFonts w:cs="Calibri"/>
      <w:b/>
      <w:bCs/>
      <w:kern w:val="2"/>
      <w:sz w:val="21"/>
    </w:rPr>
  </w:style>
  <w:style w:type="character" w:styleId="10">
    <w:name w:val="page number"/>
    <w:basedOn w:val="9"/>
    <w:qFormat/>
    <w:uiPriority w:val="0"/>
  </w:style>
  <w:style w:type="character" w:styleId="11">
    <w:name w:val="annotation reference"/>
    <w:qFormat/>
    <w:uiPriority w:val="0"/>
    <w:rPr>
      <w:sz w:val="21"/>
      <w:szCs w:val="21"/>
    </w:rPr>
  </w:style>
  <w:style w:type="character" w:customStyle="1" w:styleId="12">
    <w:name w:val="批注文字 Char"/>
    <w:link w:val="2"/>
    <w:semiHidden/>
    <w:qFormat/>
    <w:locked/>
    <w:uiPriority w:val="0"/>
    <w:rPr>
      <w:rFonts w:ascii="Calibri" w:hAnsi="Calibri" w:eastAsia="宋体"/>
      <w:szCs w:val="21"/>
      <w:lang w:val="en-US" w:eastAsia="zh-CN" w:bidi="ar-SA"/>
    </w:rPr>
  </w:style>
  <w:style w:type="character" w:customStyle="1" w:styleId="13">
    <w:name w:val="批注框文本 Char"/>
    <w:link w:val="3"/>
    <w:qFormat/>
    <w:uiPriority w:val="0"/>
    <w:rPr>
      <w:rFonts w:ascii="Calibri" w:hAnsi="Calibri" w:cs="Calibri"/>
      <w:kern w:val="2"/>
      <w:sz w:val="18"/>
      <w:szCs w:val="18"/>
    </w:rPr>
  </w:style>
  <w:style w:type="character" w:customStyle="1" w:styleId="14">
    <w:name w:val="页眉 Char"/>
    <w:link w:val="5"/>
    <w:qFormat/>
    <w:uiPriority w:val="0"/>
    <w:rPr>
      <w:rFonts w:ascii="Calibri" w:hAnsi="Calibri" w:cs="Calibri"/>
      <w:kern w:val="2"/>
      <w:sz w:val="18"/>
      <w:szCs w:val="18"/>
    </w:rPr>
  </w:style>
  <w:style w:type="character" w:customStyle="1" w:styleId="15">
    <w:name w:val="批注主题 Char"/>
    <w:link w:val="7"/>
    <w:qFormat/>
    <w:uiPriority w:val="0"/>
    <w:rPr>
      <w:rFonts w:ascii="Calibri" w:hAnsi="Calibri" w:eastAsia="宋体" w:cs="Calibri"/>
      <w:b/>
      <w:bCs/>
      <w:kern w:val="2"/>
      <w:sz w:val="21"/>
      <w:szCs w:val="21"/>
      <w:lang w:val="en-US" w:eastAsia="zh-CN" w:bidi="ar-SA"/>
    </w:rPr>
  </w:style>
  <w:style w:type="paragraph" w:customStyle="1" w:styleId="16">
    <w:name w:val="列出段落1"/>
    <w:basedOn w:val="1"/>
    <w:qFormat/>
    <w:uiPriority w:val="0"/>
    <w:pPr>
      <w:ind w:firstLine="420" w:firstLineChars="200"/>
    </w:pPr>
  </w:style>
  <w:style w:type="character" w:customStyle="1" w:styleId="17">
    <w:name w:val="副标题 Char"/>
    <w:basedOn w:val="9"/>
    <w:link w:val="6"/>
    <w:qFormat/>
    <w:uiPriority w:val="0"/>
    <w:rPr>
      <w:rFonts w:asciiTheme="majorHAnsi" w:hAnsiTheme="majorHAnsi" w:cstheme="majorBidi"/>
      <w:b/>
      <w:bCs/>
      <w:kern w:val="28"/>
      <w:sz w:val="32"/>
      <w:szCs w:val="32"/>
    </w:rPr>
  </w:style>
  <w:style w:type="paragraph" w:customStyle="1" w:styleId="18">
    <w:name w:val="样式2"/>
    <w:basedOn w:val="1"/>
    <w:qFormat/>
    <w:uiPriority w:val="0"/>
  </w:style>
  <w:style w:type="paragraph" w:customStyle="1" w:styleId="19">
    <w:name w:val="样式1"/>
    <w:qFormat/>
    <w:uiPriority w:val="0"/>
    <w:rPr>
      <w:rFonts w:asciiTheme="minorHAnsi" w:hAnsiTheme="minorHAnsi" w:eastAsiaTheme="minorEastAsia" w:cstheme="minorBidi"/>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Pages>
  <Words>414</Words>
  <Characters>2361</Characters>
  <Lines>19</Lines>
  <Paragraphs>5</Paragraphs>
  <TotalTime>36</TotalTime>
  <ScaleCrop>false</ScaleCrop>
  <LinksUpToDate>false</LinksUpToDate>
  <CharactersWithSpaces>2770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2023-09-15T03:35:00Z</dcterms:created>
  <dc:creator>HX</dc:creator>
  <cp:lastModifiedBy>丛莹</cp:lastModifiedBy>
  <cp:lastPrinted>2023-09-27T03:03:00Z</cp:lastPrinted>
  <dcterms:modified xsi:type="dcterms:W3CDTF">2023-10-11T03:14:26Z</dcterms:modified>
  <dc:title>中华全国专利代理师协会技术调查官推荐工作管理办法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0247E44CB96940E6801970BECC1FE4F7_13</vt:lpwstr>
  </property>
</Properties>
</file>