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Cs/>
          <w:sz w:val="44"/>
          <w:szCs w:val="44"/>
          <w:lang w:val="en-US" w:eastAsia="zh-CN"/>
        </w:rPr>
      </w:pPr>
      <w:r>
        <w:rPr>
          <w:rFonts w:hint="eastAsia" w:ascii="仿宋_GB2312" w:hAnsi="Times New Roman" w:eastAsia="仿宋_GB2312" w:cs="Times New Roman"/>
          <w:b/>
          <w:bCs/>
          <w:sz w:val="32"/>
          <w:szCs w:val="32"/>
          <w:lang w:val="en-US" w:eastAsia="zh-CN"/>
        </w:rPr>
        <w:t>附件1：</w:t>
      </w:r>
      <w:r>
        <w:rPr>
          <w:rFonts w:hint="eastAsia" w:ascii="方正小标宋简体" w:hAnsi="方正小标宋简体" w:eastAsia="方正小标宋简体" w:cs="方正小标宋简体"/>
          <w:bCs/>
          <w:sz w:val="44"/>
          <w:szCs w:val="44"/>
          <w:lang w:val="en-US" w:eastAsia="zh-CN"/>
        </w:rPr>
        <w:t xml:space="preserve">     </w:t>
      </w:r>
    </w:p>
    <w:p>
      <w:pPr>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常见问题解答</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pacing w:val="-6"/>
          <w:sz w:val="32"/>
          <w:szCs w:val="32"/>
          <w:u w:val="single"/>
        </w:rPr>
        <w:t>连</w:t>
      </w:r>
      <w:r>
        <w:rPr>
          <w:rFonts w:hint="eastAsia" w:ascii="仿宋_GB2312" w:hAnsi="仿宋_GB2312" w:eastAsia="仿宋_GB2312" w:cs="仿宋_GB2312"/>
          <w:color w:val="000000"/>
          <w:sz w:val="32"/>
          <w:szCs w:val="32"/>
          <w:u w:val="single"/>
        </w:rPr>
        <w:t>续五年是指近五年，即从申报起始日起倒推五年</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月申报批次，申报起始日为</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日，即要求为</w:t>
      </w:r>
      <w:r>
        <w:rPr>
          <w:rFonts w:hint="eastAsia" w:ascii="仿宋_GB2312" w:hAnsi="仿宋_GB2312"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日至</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日连续进行执业的。）</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2.有正常转所情况是指在</w:t>
      </w:r>
      <w:r>
        <w:rPr>
          <w:rFonts w:hint="eastAsia" w:ascii="仿宋_GB2312" w:hAnsi="仿宋_GB2312" w:eastAsia="仿宋_GB2312" w:cs="仿宋_GB2312"/>
          <w:b/>
          <w:bCs/>
          <w:color w:val="000000"/>
          <w:sz w:val="32"/>
          <w:szCs w:val="32"/>
        </w:rPr>
        <w:t>2个月内</w:t>
      </w:r>
      <w:r>
        <w:rPr>
          <w:rFonts w:hint="eastAsia" w:ascii="仿宋_GB2312" w:hAnsi="仿宋_GB2312" w:eastAsia="仿宋_GB2312" w:cs="仿宋_GB2312"/>
          <w:color w:val="000000"/>
          <w:sz w:val="32"/>
          <w:szCs w:val="32"/>
        </w:rPr>
        <w:t>完成注销执业备案及转所手续，继续执业的。</w:t>
      </w:r>
      <w:r>
        <w:rPr>
          <w:rFonts w:hint="eastAsia" w:ascii="仿宋_GB2312" w:hAnsi="仿宋_GB2312" w:eastAsia="仿宋_GB2312" w:cs="仿宋_GB2312"/>
          <w:color w:val="000000"/>
          <w:spacing w:val="-6"/>
          <w:sz w:val="32"/>
          <w:szCs w:val="32"/>
          <w:u w:val="single"/>
        </w:rPr>
        <w:t>如五年期间因正常转所而未连续执业的人员请按照以下进行操作：</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b w:val="0"/>
          <w:bCs w:val="0"/>
          <w:color w:val="000000"/>
          <w:sz w:val="32"/>
          <w:szCs w:val="32"/>
        </w:rPr>
      </w:pPr>
      <w:bookmarkStart w:id="0" w:name="_Hlk59197597"/>
      <w:r>
        <w:rPr>
          <w:rFonts w:hint="eastAsia" w:ascii="仿宋_GB2312" w:eastAsia="仿宋_GB2312"/>
          <w:b/>
          <w:bCs/>
          <w:color w:val="FF0000"/>
          <w:sz w:val="32"/>
          <w:szCs w:val="32"/>
        </w:rPr>
        <w:t>在202</w:t>
      </w:r>
      <w:r>
        <w:rPr>
          <w:rFonts w:hint="eastAsia" w:ascii="仿宋_GB2312" w:eastAsia="仿宋_GB2312"/>
          <w:b/>
          <w:bCs/>
          <w:color w:val="FF0000"/>
          <w:sz w:val="32"/>
          <w:szCs w:val="32"/>
          <w:lang w:val="en-US" w:eastAsia="zh-CN"/>
        </w:rPr>
        <w:t>4</w:t>
      </w:r>
      <w:r>
        <w:rPr>
          <w:rFonts w:hint="eastAsia" w:ascii="仿宋_GB2312" w:eastAsia="仿宋_GB2312"/>
          <w:b/>
          <w:bCs/>
          <w:color w:val="FF0000"/>
          <w:sz w:val="32"/>
          <w:szCs w:val="32"/>
        </w:rPr>
        <w:t>年</w:t>
      </w:r>
      <w:r>
        <w:rPr>
          <w:rFonts w:hint="eastAsia" w:ascii="仿宋_GB2312" w:eastAsia="仿宋_GB2312"/>
          <w:b/>
          <w:bCs/>
          <w:color w:val="FF0000"/>
          <w:sz w:val="32"/>
          <w:szCs w:val="32"/>
          <w:lang w:val="en-US" w:eastAsia="zh-CN"/>
        </w:rPr>
        <w:t>4</w:t>
      </w:r>
      <w:r>
        <w:rPr>
          <w:rFonts w:hint="eastAsia" w:ascii="仿宋_GB2312" w:eastAsia="仿宋_GB2312"/>
          <w:b/>
          <w:bCs/>
          <w:color w:val="FF0000"/>
          <w:sz w:val="32"/>
          <w:szCs w:val="32"/>
        </w:rPr>
        <w:t>月</w:t>
      </w:r>
      <w:r>
        <w:rPr>
          <w:rFonts w:hint="eastAsia" w:ascii="仿宋_GB2312" w:eastAsia="仿宋_GB2312"/>
          <w:b/>
          <w:bCs/>
          <w:color w:val="FF0000"/>
          <w:sz w:val="32"/>
          <w:szCs w:val="32"/>
          <w:lang w:val="en-US" w:eastAsia="zh-CN"/>
        </w:rPr>
        <w:t>18</w:t>
      </w:r>
      <w:r>
        <w:rPr>
          <w:rFonts w:hint="eastAsia" w:ascii="仿宋_GB2312" w:eastAsia="仿宋_GB2312"/>
          <w:b/>
          <w:bCs/>
          <w:color w:val="FF0000"/>
          <w:sz w:val="32"/>
          <w:szCs w:val="32"/>
        </w:rPr>
        <w:t>日16:00前</w:t>
      </w:r>
      <w:bookmarkEnd w:id="0"/>
      <w:r>
        <w:rPr>
          <w:rFonts w:hint="eastAsia" w:ascii="仿宋_GB2312" w:hAnsi="仿宋_GB2312" w:eastAsia="仿宋_GB2312" w:cs="仿宋_GB2312"/>
          <w:color w:val="000000"/>
          <w:sz w:val="32"/>
          <w:szCs w:val="32"/>
        </w:rPr>
        <w:t>由机构出具说明</w:t>
      </w:r>
      <w:r>
        <w:rPr>
          <w:rFonts w:hint="eastAsia" w:ascii="仿宋_GB2312" w:hAnsi="仿宋_GB2312" w:eastAsia="仿宋_GB2312" w:cs="仿宋_GB2312"/>
          <w:color w:val="000000"/>
          <w:sz w:val="32"/>
          <w:szCs w:val="32"/>
          <w:lang w:eastAsia="zh-CN"/>
        </w:rPr>
        <w:t>（模板请参见附件3）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000000"/>
          <w:sz w:val="32"/>
          <w:szCs w:val="32"/>
        </w:rPr>
        <w:t>将说明</w:t>
      </w:r>
      <w:r>
        <w:rPr>
          <w:rFonts w:hint="eastAsia" w:ascii="仿宋_GB2312" w:hAnsi="仿宋_GB2312" w:eastAsia="仿宋_GB2312" w:cs="仿宋_GB2312"/>
          <w:b/>
          <w:bCs/>
          <w:color w:val="000000"/>
          <w:sz w:val="32"/>
          <w:szCs w:val="32"/>
        </w:rPr>
        <w:t>彩色扫描件</w:t>
      </w:r>
      <w:r>
        <w:rPr>
          <w:rFonts w:hint="eastAsia" w:ascii="仿宋_GB2312" w:hAnsi="仿宋_GB2312" w:eastAsia="仿宋_GB2312" w:cs="仿宋_GB2312"/>
          <w:b w:val="0"/>
          <w:bCs w:val="0"/>
          <w:color w:val="000000"/>
          <w:sz w:val="32"/>
          <w:szCs w:val="32"/>
        </w:rPr>
        <w:t>（PDF格式）发至协会诉讼工作邮箱（</w:t>
      </w:r>
      <w:r>
        <w:rPr>
          <w:b w:val="0"/>
          <w:bCs w:val="0"/>
          <w:color w:val="auto"/>
          <w:u w:val="none"/>
        </w:rPr>
        <w:fldChar w:fldCharType="begin"/>
      </w:r>
      <w:r>
        <w:rPr>
          <w:b w:val="0"/>
          <w:bCs w:val="0"/>
          <w:color w:val="auto"/>
          <w:u w:val="none"/>
        </w:rPr>
        <w:instrText xml:space="preserve"> HYPERLINK "mailto:edu@acpaa.net" </w:instrText>
      </w:r>
      <w:r>
        <w:rPr>
          <w:b w:val="0"/>
          <w:bCs w:val="0"/>
          <w:color w:val="auto"/>
          <w:u w:val="none"/>
        </w:rPr>
        <w:fldChar w:fldCharType="separate"/>
      </w:r>
      <w:r>
        <w:rPr>
          <w:rStyle w:val="5"/>
          <w:rFonts w:hint="eastAsia" w:ascii="仿宋_GB2312" w:hAnsi="仿宋_GB2312" w:eastAsia="仿宋_GB2312" w:cs="仿宋_GB2312"/>
          <w:b w:val="0"/>
          <w:bCs w:val="0"/>
          <w:color w:val="auto"/>
          <w:sz w:val="32"/>
          <w:szCs w:val="32"/>
          <w:u w:val="none"/>
        </w:rPr>
        <w:t>edu@acpaa.net</w:t>
      </w:r>
      <w:r>
        <w:rPr>
          <w:rStyle w:val="5"/>
          <w:rFonts w:hint="eastAsia" w:ascii="仿宋_GB2312" w:hAnsi="仿宋_GB2312" w:eastAsia="仿宋_GB2312" w:cs="仿宋_GB2312"/>
          <w:b w:val="0"/>
          <w:bCs w:val="0"/>
          <w:color w:val="auto"/>
          <w:sz w:val="32"/>
          <w:szCs w:val="32"/>
          <w:u w:val="none"/>
        </w:rPr>
        <w:fldChar w:fldCharType="end"/>
      </w:r>
      <w:r>
        <w:rPr>
          <w:rFonts w:hint="eastAsia" w:ascii="仿宋_GB2312" w:hAnsi="仿宋_GB2312" w:eastAsia="仿宋_GB2312" w:cs="仿宋_GB2312"/>
          <w:b w:val="0"/>
          <w:bCs w:val="0"/>
          <w:color w:val="000000"/>
          <w:sz w:val="32"/>
          <w:szCs w:val="32"/>
        </w:rPr>
        <w:t>），文件名称为</w:t>
      </w:r>
      <w:r>
        <w:rPr>
          <w:rFonts w:hint="eastAsia" w:ascii="仿宋_GB2312" w:hAnsi="仿宋_GB2312" w:eastAsia="仿宋_GB2312" w:cs="仿宋_GB2312"/>
          <w:b/>
          <w:bCs/>
          <w:color w:val="000000"/>
          <w:sz w:val="32"/>
          <w:szCs w:val="32"/>
        </w:rPr>
        <w:t>民事诉讼申报-（人名）连续五年执业的说明</w:t>
      </w:r>
      <w:r>
        <w:rPr>
          <w:rFonts w:hint="eastAsia" w:ascii="仿宋_GB2312" w:hAnsi="仿宋_GB2312" w:eastAsia="仿宋_GB2312" w:cs="仿宋_GB2312"/>
          <w:b w:val="0"/>
          <w:bCs w:val="0"/>
          <w:color w:val="000000"/>
          <w:sz w:val="32"/>
          <w:szCs w:val="32"/>
        </w:rPr>
        <w:t>。</w:t>
      </w:r>
    </w:p>
    <w:p>
      <w:pPr>
        <w:pStyle w:val="2"/>
        <w:shd w:val="clear" w:color="auto" w:fill="FFFFFF"/>
        <w:snapToGrid w:val="0"/>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以上情况人员审核无误的可在诉讼集中申报系统中进行正常申报。</w:t>
      </w:r>
    </w:p>
    <w:p>
      <w:pPr>
        <w:widowControl/>
        <w:shd w:val="clear" w:color="auto" w:fill="FFFFFF"/>
        <w:spacing w:line="560" w:lineRule="exact"/>
        <w:ind w:firstLine="616"/>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u w:val="single"/>
        </w:rPr>
        <w:t>初审未通过且希望补正的人员请按照以下进行操作：</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在</w:t>
      </w:r>
      <w:bookmarkStart w:id="1" w:name="_Hlk67314385"/>
      <w:bookmarkStart w:id="2" w:name="_Hlk59197604"/>
      <w:r>
        <w:rPr>
          <w:rFonts w:hint="eastAsia" w:ascii="仿宋_GB2312" w:eastAsia="仿宋_GB2312"/>
          <w:b/>
          <w:bCs/>
          <w:color w:val="FF0000"/>
          <w:sz w:val="32"/>
          <w:szCs w:val="32"/>
        </w:rPr>
        <w:t>202</w:t>
      </w:r>
      <w:r>
        <w:rPr>
          <w:rFonts w:hint="eastAsia" w:ascii="仿宋_GB2312" w:eastAsia="仿宋_GB2312"/>
          <w:b/>
          <w:bCs/>
          <w:color w:val="FF0000"/>
          <w:sz w:val="32"/>
          <w:szCs w:val="32"/>
          <w:lang w:val="en-US" w:eastAsia="zh-CN"/>
        </w:rPr>
        <w:t>4</w:t>
      </w:r>
      <w:r>
        <w:rPr>
          <w:rFonts w:hint="eastAsia" w:ascii="仿宋_GB2312" w:eastAsia="仿宋_GB2312"/>
          <w:b/>
          <w:bCs/>
          <w:color w:val="FF0000"/>
          <w:sz w:val="32"/>
          <w:szCs w:val="32"/>
        </w:rPr>
        <w:t>年</w:t>
      </w:r>
      <w:r>
        <w:rPr>
          <w:rFonts w:hint="eastAsia" w:ascii="仿宋_GB2312" w:eastAsia="仿宋_GB2312"/>
          <w:b/>
          <w:bCs/>
          <w:color w:val="FF0000"/>
          <w:sz w:val="32"/>
          <w:szCs w:val="32"/>
          <w:lang w:val="en-US" w:eastAsia="zh-CN"/>
        </w:rPr>
        <w:t>5</w:t>
      </w:r>
      <w:r>
        <w:rPr>
          <w:rFonts w:hint="eastAsia" w:ascii="仿宋_GB2312" w:eastAsia="仿宋_GB2312"/>
          <w:b/>
          <w:bCs/>
          <w:color w:val="FF0000"/>
          <w:sz w:val="32"/>
          <w:szCs w:val="32"/>
        </w:rPr>
        <w:t>月</w:t>
      </w:r>
      <w:r>
        <w:rPr>
          <w:rFonts w:hint="eastAsia" w:ascii="仿宋_GB2312" w:eastAsia="仿宋_GB2312"/>
          <w:b/>
          <w:bCs/>
          <w:color w:val="FF0000"/>
          <w:sz w:val="32"/>
          <w:szCs w:val="32"/>
          <w:lang w:val="en-US" w:eastAsia="zh-CN"/>
        </w:rPr>
        <w:t>16</w:t>
      </w:r>
      <w:r>
        <w:rPr>
          <w:rFonts w:hint="eastAsia" w:ascii="仿宋_GB2312" w:eastAsia="仿宋_GB2312"/>
          <w:b/>
          <w:bCs/>
          <w:color w:val="FF0000"/>
          <w:sz w:val="32"/>
          <w:szCs w:val="32"/>
        </w:rPr>
        <w:t>日</w:t>
      </w:r>
      <w:bookmarkEnd w:id="1"/>
      <w:r>
        <w:rPr>
          <w:rFonts w:hint="eastAsia" w:ascii="仿宋_GB2312" w:eastAsia="仿宋_GB2312"/>
          <w:b/>
          <w:bCs/>
          <w:color w:val="FF0000"/>
          <w:sz w:val="32"/>
          <w:szCs w:val="32"/>
        </w:rPr>
        <w:t>16:00前</w:t>
      </w:r>
      <w:bookmarkEnd w:id="2"/>
      <w:r>
        <w:rPr>
          <w:rFonts w:hint="eastAsia" w:ascii="仿宋_GB2312" w:hAnsi="仿宋_GB2312" w:eastAsia="仿宋_GB2312" w:cs="仿宋_GB2312"/>
          <w:color w:val="000000"/>
          <w:sz w:val="32"/>
          <w:szCs w:val="32"/>
        </w:rPr>
        <w:t>将补正文件</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bCs/>
          <w:color w:val="000000"/>
          <w:sz w:val="32"/>
          <w:szCs w:val="32"/>
        </w:rPr>
        <w:t>彩色扫描件PDF格式</w:t>
      </w:r>
      <w:r>
        <w:rPr>
          <w:rFonts w:hint="eastAsia" w:ascii="仿宋_GB2312" w:hAnsi="仿宋_GB2312" w:eastAsia="仿宋_GB2312" w:cs="仿宋_GB2312"/>
          <w:b w:val="0"/>
          <w:bCs w:val="0"/>
          <w:color w:val="000000"/>
          <w:sz w:val="32"/>
          <w:szCs w:val="32"/>
        </w:rPr>
        <w:t>）发至协会诉讼工作邮箱（</w:t>
      </w:r>
      <w:r>
        <w:rPr>
          <w:b w:val="0"/>
          <w:bCs w:val="0"/>
          <w:color w:val="auto"/>
          <w:u w:val="none"/>
        </w:rPr>
        <w:fldChar w:fldCharType="begin"/>
      </w:r>
      <w:r>
        <w:rPr>
          <w:b w:val="0"/>
          <w:bCs w:val="0"/>
          <w:color w:val="auto"/>
          <w:u w:val="none"/>
        </w:rPr>
        <w:instrText xml:space="preserve"> HYPERLINK "mailto:edu@acpaa.net" </w:instrText>
      </w:r>
      <w:r>
        <w:rPr>
          <w:b w:val="0"/>
          <w:bCs w:val="0"/>
          <w:color w:val="auto"/>
          <w:u w:val="none"/>
        </w:rPr>
        <w:fldChar w:fldCharType="separate"/>
      </w:r>
      <w:r>
        <w:rPr>
          <w:rStyle w:val="5"/>
          <w:rFonts w:hint="eastAsia" w:ascii="仿宋_GB2312" w:hAnsi="仿宋_GB2312" w:eastAsia="仿宋_GB2312" w:cs="仿宋_GB2312"/>
          <w:b w:val="0"/>
          <w:bCs w:val="0"/>
          <w:color w:val="auto"/>
          <w:sz w:val="32"/>
          <w:szCs w:val="32"/>
          <w:u w:val="none"/>
        </w:rPr>
        <w:t>edu@acpaa.net</w:t>
      </w:r>
      <w:r>
        <w:rPr>
          <w:rStyle w:val="5"/>
          <w:rFonts w:hint="eastAsia" w:ascii="仿宋_GB2312" w:hAnsi="仿宋_GB2312" w:eastAsia="仿宋_GB2312" w:cs="仿宋_GB2312"/>
          <w:b w:val="0"/>
          <w:bCs w:val="0"/>
          <w:color w:val="auto"/>
          <w:sz w:val="32"/>
          <w:szCs w:val="32"/>
          <w:u w:val="none"/>
        </w:rPr>
        <w:fldChar w:fldCharType="end"/>
      </w:r>
      <w:r>
        <w:rPr>
          <w:rFonts w:hint="eastAsia" w:ascii="仿宋_GB2312" w:hAnsi="仿宋_GB2312" w:eastAsia="仿宋_GB2312" w:cs="仿宋_GB2312"/>
          <w:b w:val="0"/>
          <w:bCs w:val="0"/>
          <w:color w:val="000000"/>
          <w:sz w:val="32"/>
          <w:szCs w:val="32"/>
        </w:rPr>
        <w:t>），文件名称为</w:t>
      </w:r>
      <w:r>
        <w:rPr>
          <w:rFonts w:hint="eastAsia" w:ascii="仿宋_GB2312" w:hAnsi="仿宋_GB2312" w:eastAsia="仿宋_GB2312" w:cs="仿宋_GB2312"/>
          <w:b/>
          <w:bCs/>
          <w:color w:val="000000"/>
          <w:sz w:val="32"/>
          <w:szCs w:val="32"/>
        </w:rPr>
        <w:t>民事诉讼申报-（人名）补正</w:t>
      </w:r>
      <w:r>
        <w:rPr>
          <w:rFonts w:hint="eastAsia" w:ascii="仿宋_GB2312" w:hAnsi="仿宋_GB2312" w:eastAsia="仿宋_GB2312" w:cs="仿宋_GB2312"/>
          <w:b w:val="0"/>
          <w:bCs w:val="0"/>
          <w:color w:val="000000"/>
          <w:sz w:val="32"/>
          <w:szCs w:val="32"/>
        </w:rPr>
        <w:t>。</w:t>
      </w:r>
    </w:p>
    <w:p>
      <w:pPr>
        <w:pStyle w:val="2"/>
        <w:shd w:val="clear" w:color="auto" w:fill="FFFFFF"/>
        <w:wordWrap w:val="0"/>
        <w:spacing w:before="0" w:beforeAutospacing="0" w:after="0" w:afterAutospacing="0" w:line="560" w:lineRule="exact"/>
        <w:ind w:firstLine="641"/>
        <w:jc w:val="both"/>
        <w:rPr>
          <w:rFonts w:hint="eastAsia" w:ascii="仿宋_GB2312" w:hAnsi="仿宋_GB2312" w:eastAsia="仿宋_GB2312" w:cs="仿宋_GB2312"/>
          <w:color w:val="000000"/>
          <w:sz w:val="32"/>
          <w:szCs w:val="32"/>
          <w:u w:val="single"/>
          <w:lang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u w:val="single"/>
        </w:rPr>
        <w:t>机构想申请或已遗失诉讼代理人专栏密码</w:t>
      </w:r>
      <w:r>
        <w:rPr>
          <w:rFonts w:hint="eastAsia" w:ascii="仿宋_GB2312" w:hAnsi="仿宋_GB2312" w:eastAsia="仿宋_GB2312" w:cs="仿宋_GB2312"/>
          <w:color w:val="000000"/>
          <w:sz w:val="32"/>
          <w:szCs w:val="32"/>
          <w:u w:val="single"/>
          <w:lang w:eastAsia="zh-CN"/>
        </w:rPr>
        <w:t>：</w:t>
      </w:r>
    </w:p>
    <w:p>
      <w:pPr>
        <w:pStyle w:val="2"/>
        <w:shd w:val="clear" w:color="auto" w:fill="FFFFFF"/>
        <w:wordWrap w:val="0"/>
        <w:spacing w:before="0" w:beforeAutospacing="0" w:after="0" w:afterAutospacing="0" w:line="560" w:lineRule="exact"/>
        <w:ind w:firstLine="641"/>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请使用机构在专利代理管理系统内登记的邮箱发送邮件至</w:t>
      </w:r>
      <w:r>
        <w:rPr>
          <w:color w:val="auto"/>
          <w:u w:val="none"/>
        </w:rPr>
        <w:fldChar w:fldCharType="begin"/>
      </w:r>
      <w:r>
        <w:rPr>
          <w:color w:val="auto"/>
          <w:u w:val="none"/>
        </w:rPr>
        <w:instrText xml:space="preserve"> HYPERLINK "mailto:edu@acpaa.net" </w:instrText>
      </w:r>
      <w:r>
        <w:rPr>
          <w:color w:val="auto"/>
          <w:u w:val="none"/>
        </w:rPr>
        <w:fldChar w:fldCharType="separate"/>
      </w:r>
      <w:r>
        <w:rPr>
          <w:rStyle w:val="5"/>
          <w:rFonts w:hint="eastAsia" w:ascii="仿宋_GB2312" w:hAnsi="仿宋_GB2312" w:eastAsia="仿宋_GB2312" w:cs="仿宋_GB2312"/>
          <w:color w:val="auto"/>
          <w:sz w:val="32"/>
          <w:szCs w:val="32"/>
          <w:u w:val="none"/>
        </w:rPr>
        <w:t>edu@acpaa.net</w:t>
      </w:r>
      <w:r>
        <w:rPr>
          <w:rStyle w:val="5"/>
          <w:rFonts w:hint="eastAsia" w:ascii="仿宋_GB2312" w:hAnsi="仿宋_GB2312" w:eastAsia="仿宋_GB2312" w:cs="仿宋_GB2312"/>
          <w:color w:val="auto"/>
          <w:sz w:val="32"/>
          <w:szCs w:val="32"/>
          <w:u w:val="none"/>
        </w:rPr>
        <w:fldChar w:fldCharType="end"/>
      </w:r>
      <w:bookmarkStart w:id="3" w:name="_Hlk59522605"/>
      <w:r>
        <w:rPr>
          <w:rFonts w:hint="eastAsia" w:ascii="仿宋_GB2312" w:hAnsi="仿宋_GB2312" w:eastAsia="仿宋_GB2312" w:cs="仿宋_GB2312"/>
          <w:color w:val="000000"/>
          <w:sz w:val="32"/>
          <w:szCs w:val="32"/>
        </w:rPr>
        <w:t>进行密码申请/找回（登记邮箱可在</w:t>
      </w:r>
      <w:bookmarkEnd w:id="3"/>
      <w:r>
        <w:rPr>
          <w:rFonts w:hint="eastAsia" w:ascii="仿宋_GB2312" w:hAnsi="仿宋_GB2312" w:eastAsia="仿宋_GB2312" w:cs="仿宋_GB2312"/>
          <w:color w:val="000000"/>
          <w:sz w:val="32"/>
          <w:szCs w:val="32"/>
        </w:rPr>
        <w:t>http://dlgl.cnipa.gov.cn/txnqueryAgencyOrg.do查询）。邮件主题为诉讼代理人专栏密码申请/找回，邮件内需附诉讼专栏密码申请/找回说明彩色扫描文件(说明内要求写清机构代码、机构名称、事由并加盖机构公章)，工作组将在收到邮件后1-2个工作日内予以邮件回复。 </w:t>
      </w:r>
    </w:p>
    <w:p>
      <w:pPr>
        <w:pStyle w:val="2"/>
        <w:shd w:val="clear" w:color="auto" w:fill="FFFFFF"/>
        <w:spacing w:before="0" w:beforeAutospacing="0" w:after="0" w:afterAutospacing="0" w:line="560" w:lineRule="exact"/>
        <w:ind w:firstLine="643"/>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w:t>
      </w:r>
      <w:r>
        <w:rPr>
          <w:rFonts w:hint="eastAsia" w:ascii="仿宋_GB2312" w:hAnsi="仿宋_GB2312" w:eastAsia="仿宋_GB2312" w:cs="仿宋_GB2312"/>
          <w:b/>
          <w:bCs/>
          <w:color w:val="000000"/>
          <w:sz w:val="32"/>
          <w:szCs w:val="32"/>
          <w:u w:val="single"/>
        </w:rPr>
        <w:t>申报期间，诉讼工作组将主要以</w:t>
      </w:r>
      <w:r>
        <w:rPr>
          <w:rFonts w:hint="eastAsia" w:ascii="仿宋_GB2312" w:hAnsi="仿宋_GB2312" w:eastAsia="仿宋_GB2312" w:cs="仿宋_GB2312"/>
          <w:b/>
          <w:bCs/>
          <w:color w:val="000000"/>
          <w:sz w:val="32"/>
          <w:szCs w:val="32"/>
          <w:u w:val="single"/>
        </w:rPr>
        <w:t>邮件形式与申报人员联系</w:t>
      </w:r>
      <w:r>
        <w:rPr>
          <w:rFonts w:hint="eastAsia" w:ascii="仿宋_GB2312" w:hAnsi="仿宋_GB2312" w:eastAsia="仿宋_GB2312" w:cs="仿宋_GB2312"/>
          <w:b/>
          <w:bCs/>
          <w:color w:val="000000"/>
          <w:sz w:val="32"/>
          <w:szCs w:val="32"/>
        </w:rPr>
        <w:t>，请各位申报人员在申报时填写正确邮箱号并在申报期间关注邮箱动态，以免错过申报的相关信息。</w:t>
      </w: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220FBB"/>
    <w:rsid w:val="63E8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2024-04-07T06:58:00Z</dcterms:created>
  <dc:creator>zhangli</dc:creator>
  <cp:lastModifiedBy>zhangli</cp:lastModifiedBy>
  <dcterms:modified xsi:type="dcterms:W3CDTF">2024-04-08T02:37:24Z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